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1920"/>
        <w:gridCol w:w="7425"/>
        <w:gridCol w:w="3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9" w:type="dxa"/>
            <w:gridSpan w:val="4"/>
            <w:tcBorders>
              <w:top w:val="nil"/>
              <w:left w:val="nil"/>
              <w:right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宋体" w:hAnsi="宋体" w:eastAsia="宋体" w:cs="宋体"/>
                <w:b/>
                <w:bCs/>
                <w:sz w:val="24"/>
                <w:szCs w:val="24"/>
                <w:vertAlign w:val="baseline"/>
                <w:lang w:eastAsia="zh-CN"/>
              </w:rPr>
            </w:pPr>
            <w:r>
              <w:rPr>
                <w:rFonts w:hint="eastAsia" w:ascii="宋体" w:hAnsi="宋体" w:cs="宋体"/>
                <w:b/>
                <w:bCs/>
                <w:sz w:val="36"/>
                <w:szCs w:val="36"/>
                <w:vertAlign w:val="baseline"/>
                <w:lang w:eastAsia="zh-CN"/>
              </w:rPr>
              <w:t>赤壁</w:t>
            </w:r>
            <w:r>
              <w:rPr>
                <w:rFonts w:hint="eastAsia" w:ascii="宋体" w:hAnsi="宋体" w:eastAsia="宋体" w:cs="宋体"/>
                <w:b/>
                <w:bCs/>
                <w:sz w:val="36"/>
                <w:szCs w:val="36"/>
                <w:vertAlign w:val="baseline"/>
                <w:lang w:eastAsia="zh-CN"/>
              </w:rPr>
              <w:t>市招标投标负面清单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rPr>
              <w:t>序号</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rPr>
              <w:t>禁止事项</w:t>
            </w:r>
          </w:p>
        </w:tc>
        <w:tc>
          <w:tcPr>
            <w:tcW w:w="74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rPr>
              <w:t>具体内容</w:t>
            </w:r>
          </w:p>
        </w:tc>
        <w:tc>
          <w:tcPr>
            <w:tcW w:w="374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rPr>
              <w:t>相关法律、法规和其他依据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9"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rPr>
              <w:t>一、招标人和招标代理机构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7"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hint="eastAsia" w:ascii="宋体" w:hAnsi="宋体" w:eastAsia="宋体" w:cs="宋体"/>
                <w:sz w:val="24"/>
                <w:szCs w:val="24"/>
                <w:vertAlign w:val="baseline"/>
              </w:rPr>
            </w:pPr>
            <w:r>
              <w:rPr>
                <w:rFonts w:hint="eastAsia" w:ascii="仿宋" w:hAnsi="仿宋" w:eastAsia="仿宋" w:cs="仿宋"/>
                <w:sz w:val="24"/>
                <w:szCs w:val="24"/>
                <w:lang w:val="en-US" w:eastAsia="zh-CN"/>
              </w:rPr>
              <w:t>依法应当招标未招标或未进平台交易</w:t>
            </w:r>
          </w:p>
        </w:tc>
        <w:tc>
          <w:tcPr>
            <w:tcW w:w="7425" w:type="dxa"/>
            <w:noWrap w:val="0"/>
            <w:vAlign w:val="center"/>
          </w:tc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left"/>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1.依法必须进行招标的项目而不招标。                          2.不按项目审批、核准部门审批、核准所确定的招标范围、招标方式、招标组织形式进行招标。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leftChars="0" w:right="0" w:rightChars="0"/>
              <w:jc w:val="left"/>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3.为适用“可以不招标</w:t>
            </w:r>
            <w:r>
              <w:rPr>
                <w:rFonts w:hint="default" w:ascii="仿宋" w:hAnsi="仿宋" w:eastAsia="仿宋" w:cs="仿宋"/>
                <w:sz w:val="24"/>
                <w:szCs w:val="24"/>
                <w:lang w:val="en-US" w:eastAsia="zh-CN"/>
              </w:rPr>
              <w:t>”</w:t>
            </w:r>
            <w:r>
              <w:rPr>
                <w:rFonts w:hint="eastAsia" w:ascii="仿宋" w:hAnsi="仿宋" w:eastAsia="仿宋" w:cs="仿宋"/>
                <w:sz w:val="24"/>
                <w:szCs w:val="24"/>
                <w:lang w:val="en-US" w:eastAsia="zh-CN"/>
              </w:rPr>
              <w:t xml:space="preserve">法定条款的规定而弄虚作假。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leftChars="0" w:right="0" w:rightChars="0"/>
              <w:jc w:val="left"/>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4.对依法必须进行招标的项目利用划分</w:t>
            </w:r>
            <w:bookmarkStart w:id="0" w:name="_GoBack"/>
            <w:bookmarkEnd w:id="0"/>
            <w:r>
              <w:rPr>
                <w:rFonts w:hint="eastAsia" w:ascii="仿宋" w:hAnsi="仿宋" w:eastAsia="仿宋" w:cs="仿宋"/>
                <w:sz w:val="24"/>
                <w:szCs w:val="24"/>
                <w:lang w:val="en-US" w:eastAsia="zh-CN"/>
              </w:rPr>
              <w:t xml:space="preserve">标段、化整为零或者以其他任何方式规避招标。                                            5.依法应当公开招标而擅自采用邀请招标，或将应当公开招标的政府采购项目擅自采用其他方式采购。                              6.以暂估价形式包含在总承包范围内的工程、货物、服务，属于依法必须招标的范围且达到国家规定的规模标准，不依法进行招标。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leftChars="0" w:right="0" w:rightChars="0"/>
              <w:jc w:val="left"/>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7.通过资格预审的申请人少于三个或投标人少于三个时，不按法律法规的规定重新招标。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left"/>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8.列入公共资源招标投标目录的项目，未进入公共资源交易平台交易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jc w:val="left"/>
              <w:textAlignment w:val="baseline"/>
              <w:rPr>
                <w:rFonts w:hint="eastAsia" w:ascii="宋体" w:hAnsi="宋体" w:eastAsia="宋体" w:cs="宋体"/>
                <w:sz w:val="24"/>
                <w:szCs w:val="24"/>
                <w:vertAlign w:val="baseline"/>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jc w:val="left"/>
              <w:textAlignment w:val="baseline"/>
              <w:rPr>
                <w:rFonts w:hint="eastAsia" w:ascii="宋体" w:hAnsi="宋体" w:eastAsia="宋体" w:cs="宋体"/>
                <w:sz w:val="24"/>
                <w:szCs w:val="24"/>
                <w:vertAlign w:val="baseline"/>
              </w:rPr>
            </w:pP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《招标投标法》第四条，第二十八条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《招标投标法实施条例》第七条，第九条，第二十四条，第二十九条，第四十四条、第六十四条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宋体" w:hAnsi="宋体" w:eastAsia="宋体" w:cs="宋体"/>
                <w:sz w:val="24"/>
                <w:szCs w:val="24"/>
                <w:vertAlign w:val="baseline"/>
              </w:rPr>
            </w:pPr>
            <w:r>
              <w:rPr>
                <w:rFonts w:hint="eastAsia" w:ascii="仿宋" w:hAnsi="仿宋" w:eastAsia="仿宋" w:cs="仿宋"/>
                <w:sz w:val="24"/>
                <w:szCs w:val="24"/>
                <w:lang w:val="en-US" w:eastAsia="zh-CN"/>
              </w:rPr>
              <w:t>《湖北省公共资源招标投标监督管理条例》第八条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firstLine="234" w:firstLineChars="100"/>
              <w:jc w:val="center"/>
              <w:textAlignment w:val="baseline"/>
              <w:rPr>
                <w:rFonts w:hint="eastAsia" w:ascii="宋体" w:hAnsi="宋体" w:eastAsia="宋体" w:cs="宋体"/>
                <w:b w:val="0"/>
                <w:bCs w:val="0"/>
                <w:sz w:val="24"/>
                <w:szCs w:val="24"/>
                <w:vertAlign w:val="baseline"/>
              </w:rPr>
            </w:pPr>
            <w:r>
              <w:rPr>
                <w:rFonts w:hint="eastAsia" w:ascii="宋体" w:hAnsi="宋体" w:eastAsia="宋体" w:cs="宋体"/>
                <w:b w:val="0"/>
                <w:bCs w:val="0"/>
                <w:spacing w:val="-3"/>
                <w:sz w:val="24"/>
                <w:szCs w:val="24"/>
              </w:rPr>
              <w:t>序</w:t>
            </w:r>
            <w:r>
              <w:rPr>
                <w:rFonts w:hint="eastAsia" w:ascii="宋体" w:hAnsi="宋体" w:eastAsia="宋体" w:cs="宋体"/>
                <w:b w:val="0"/>
                <w:bCs w:val="0"/>
                <w:spacing w:val="-2"/>
                <w:sz w:val="24"/>
                <w:szCs w:val="24"/>
              </w:rPr>
              <w:t>号</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jc w:val="center"/>
              <w:textAlignment w:val="baseline"/>
              <w:rPr>
                <w:rFonts w:hint="eastAsia" w:ascii="宋体" w:hAnsi="宋体" w:eastAsia="宋体" w:cs="宋体"/>
                <w:b w:val="0"/>
                <w:bCs w:val="0"/>
                <w:sz w:val="24"/>
                <w:szCs w:val="24"/>
                <w:vertAlign w:val="baseline"/>
              </w:rPr>
            </w:pPr>
            <w:r>
              <w:rPr>
                <w:rFonts w:hint="eastAsia" w:ascii="宋体" w:hAnsi="宋体" w:eastAsia="宋体" w:cs="宋体"/>
                <w:b w:val="0"/>
                <w:bCs w:val="0"/>
                <w:spacing w:val="-2"/>
                <w:sz w:val="24"/>
                <w:szCs w:val="24"/>
              </w:rPr>
              <w:t>禁止事项</w:t>
            </w:r>
          </w:p>
        </w:tc>
        <w:tc>
          <w:tcPr>
            <w:tcW w:w="74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jc w:val="center"/>
              <w:textAlignment w:val="baseline"/>
              <w:rPr>
                <w:rFonts w:hint="eastAsia" w:ascii="宋体" w:hAnsi="宋体" w:eastAsia="宋体" w:cs="宋体"/>
                <w:b w:val="0"/>
                <w:bCs w:val="0"/>
                <w:sz w:val="24"/>
                <w:szCs w:val="24"/>
                <w:vertAlign w:val="baseline"/>
              </w:rPr>
            </w:pPr>
            <w:r>
              <w:rPr>
                <w:rFonts w:hint="eastAsia" w:ascii="宋体" w:hAnsi="宋体" w:eastAsia="宋体" w:cs="宋体"/>
                <w:b w:val="0"/>
                <w:bCs w:val="0"/>
                <w:spacing w:val="12"/>
                <w:sz w:val="24"/>
                <w:szCs w:val="24"/>
              </w:rPr>
              <w:t>具</w:t>
            </w:r>
            <w:r>
              <w:rPr>
                <w:rFonts w:hint="eastAsia" w:ascii="宋体" w:hAnsi="宋体" w:eastAsia="宋体" w:cs="宋体"/>
                <w:b w:val="0"/>
                <w:bCs w:val="0"/>
                <w:spacing w:val="11"/>
                <w:sz w:val="24"/>
                <w:szCs w:val="24"/>
              </w:rPr>
              <w:t>体内容</w:t>
            </w:r>
          </w:p>
        </w:tc>
        <w:tc>
          <w:tcPr>
            <w:tcW w:w="374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jc w:val="center"/>
              <w:textAlignment w:val="baseline"/>
              <w:rPr>
                <w:rFonts w:hint="eastAsia" w:ascii="宋体" w:hAnsi="宋体" w:eastAsia="宋体" w:cs="宋体"/>
                <w:b w:val="0"/>
                <w:bCs w:val="0"/>
                <w:sz w:val="24"/>
                <w:szCs w:val="24"/>
                <w:vertAlign w:val="baseline"/>
              </w:rPr>
            </w:pPr>
            <w:r>
              <w:rPr>
                <w:rFonts w:hint="eastAsia" w:ascii="宋体" w:hAnsi="宋体" w:eastAsia="宋体" w:cs="宋体"/>
                <w:b w:val="0"/>
                <w:bCs w:val="0"/>
                <w:spacing w:val="-1"/>
                <w:sz w:val="24"/>
                <w:szCs w:val="24"/>
              </w:rPr>
              <w:t>相关法律、法规和其</w:t>
            </w:r>
            <w:r>
              <w:rPr>
                <w:rFonts w:hint="eastAsia" w:ascii="宋体" w:hAnsi="宋体" w:eastAsia="宋体" w:cs="宋体"/>
                <w:b w:val="0"/>
                <w:bCs w:val="0"/>
                <w:sz w:val="24"/>
                <w:szCs w:val="24"/>
              </w:rPr>
              <w:t>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right="0"/>
              <w:jc w:val="center"/>
              <w:textAlignment w:val="baseline"/>
              <w:rPr>
                <w:rFonts w:hint="eastAsia" w:ascii="仿宋" w:hAnsi="仿宋" w:eastAsia="仿宋" w:cs="仿宋"/>
                <w:sz w:val="24"/>
                <w:szCs w:val="24"/>
                <w:vertAlign w:val="baseline"/>
              </w:rPr>
            </w:pPr>
            <w:r>
              <w:rPr>
                <w:rFonts w:hint="eastAsia" w:ascii="宋体" w:hAnsi="宋体" w:eastAsia="宋体" w:cs="宋体"/>
                <w:sz w:val="24"/>
                <w:szCs w:val="24"/>
              </w:rPr>
              <w:t>2</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发布公告不规范</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left"/>
              <w:textAlignment w:val="baseline"/>
              <w:rPr>
                <w:rFonts w:hint="eastAsia" w:ascii="宋体" w:hAnsi="宋体" w:eastAsia="宋体" w:cs="宋体"/>
                <w:spacing w:val="1"/>
                <w:sz w:val="24"/>
                <w:szCs w:val="2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1.依法公开招标的项目，未在“中国招标投标公共服务平台”或者项目所在地省级电子招标投标公共服务平台发布招标公告。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2.在不同媒介发布的同一招标项目的资格预审公告或者招标公告的内容不一致。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3.依法公开招标的项目，发布的资格预审公告或者招标公告内容不符合招标投标法律法规的要求。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4.资格预审公告或者招标公告中有关获取资格预审文件或者招标文件的时限不符合招标投标法律法规规定。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left"/>
              <w:textAlignment w:val="baseline"/>
              <w:rPr>
                <w:rFonts w:hint="eastAsia" w:ascii="宋体" w:hAnsi="宋体" w:eastAsia="宋体" w:cs="宋体"/>
                <w:spacing w:val="6"/>
                <w:sz w:val="24"/>
                <w:szCs w:val="24"/>
              </w:rPr>
            </w:pP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《招标投标法》第十六条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《招标投标法实施条例》第十五条、十六条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宋体" w:hAnsi="宋体" w:eastAsia="宋体" w:cs="宋体"/>
                <w:sz w:val="24"/>
                <w:szCs w:val="24"/>
                <w:lang w:eastAsia="zh-CN"/>
              </w:rPr>
            </w:pPr>
            <w:r>
              <w:rPr>
                <w:rFonts w:hint="eastAsia" w:ascii="仿宋" w:hAnsi="仿宋" w:eastAsia="仿宋" w:cs="仿宋"/>
                <w:sz w:val="24"/>
                <w:szCs w:val="24"/>
                <w:lang w:val="en-US" w:eastAsia="zh-CN"/>
              </w:rPr>
              <w:t>《招标公告和公示信息发布管理办法》第五条、第八条、第十条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4"/>
                <w:szCs w:val="24"/>
                <w:vertAlign w:val="baseline"/>
              </w:rPr>
            </w:pPr>
            <w:r>
              <w:rPr>
                <w:rFonts w:hint="eastAsia" w:ascii="宋体" w:hAnsi="宋体" w:eastAsia="宋体" w:cs="宋体"/>
                <w:sz w:val="24"/>
                <w:szCs w:val="24"/>
              </w:rPr>
              <w:t>3</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不按规定编制资格预审文件、招标文件</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left="0" w:right="0" w:rightChars="0"/>
              <w:jc w:val="both"/>
              <w:textAlignment w:val="baseline"/>
              <w:rPr>
                <w:rFonts w:hint="eastAsia" w:ascii="宋体" w:hAnsi="宋体" w:eastAsia="宋体" w:cs="宋体"/>
                <w:sz w:val="24"/>
                <w:szCs w:val="24"/>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left"/>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1.依法必须招标的项目，不按规定使用发展改革部门、综合监管机构会同有关行政监督部门制定的标准文本或者示范文本来编制资格预审文件、招标文件。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left"/>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2.设有最高投标限价，不在招标文件中明确最高投标限价或者最高投标限价的计算方法。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left"/>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3.在招标文件中设置最低限价。                                4.以投标报价是否接近标底作为中标条件，或者以投标报价超过标底上下浮动范围作为否决投标的条件。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left="0" w:right="0" w:rightChars="0"/>
              <w:jc w:val="both"/>
              <w:textAlignment w:val="baseline"/>
              <w:rPr>
                <w:rFonts w:hint="eastAsia" w:ascii="宋体" w:hAnsi="宋体" w:eastAsia="宋体" w:cs="宋体"/>
                <w:sz w:val="24"/>
                <w:szCs w:val="24"/>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left="0" w:right="0" w:rightChars="0"/>
              <w:jc w:val="both"/>
              <w:textAlignment w:val="baseline"/>
              <w:rPr>
                <w:rFonts w:hint="eastAsia" w:ascii="宋体" w:hAnsi="宋体" w:eastAsia="宋体" w:cs="宋体"/>
                <w:sz w:val="24"/>
                <w:szCs w:val="24"/>
              </w:rPr>
            </w:pPr>
          </w:p>
        </w:tc>
        <w:tc>
          <w:tcPr>
            <w:tcW w:w="374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hanging="107" w:firstLine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《招标投标法实施条例》第十五条，第二十七条，第五十条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975" w:type="dxa"/>
            <w:noWrap w:val="0"/>
            <w:vAlign w:val="center"/>
          </w:tcPr>
          <w:p>
            <w:pPr>
              <w:widowControl w:val="0"/>
              <w:spacing w:before="117" w:line="221" w:lineRule="auto"/>
              <w:ind w:left="198" w:leftChars="0"/>
              <w:jc w:val="both"/>
              <w:rPr>
                <w:rFonts w:hint="eastAsia" w:ascii="仿宋" w:hAnsi="仿宋" w:eastAsia="仿宋" w:cs="仿宋"/>
                <w:sz w:val="32"/>
                <w:szCs w:val="32"/>
                <w:vertAlign w:val="baseline"/>
              </w:rPr>
            </w:pPr>
            <w:r>
              <w:rPr>
                <w:rFonts w:hint="eastAsia" w:ascii="宋体" w:hAnsi="宋体" w:eastAsia="宋体" w:cs="宋体"/>
                <w:b w:val="0"/>
                <w:bCs w:val="0"/>
                <w:spacing w:val="-3"/>
                <w:sz w:val="24"/>
                <w:szCs w:val="24"/>
              </w:rPr>
              <w:t>序</w:t>
            </w:r>
            <w:r>
              <w:rPr>
                <w:rFonts w:hint="eastAsia" w:ascii="宋体" w:hAnsi="宋体" w:eastAsia="宋体" w:cs="宋体"/>
                <w:b w:val="0"/>
                <w:bCs w:val="0"/>
                <w:spacing w:val="-2"/>
                <w:sz w:val="24"/>
                <w:szCs w:val="24"/>
              </w:rPr>
              <w:t>号</w:t>
            </w:r>
          </w:p>
        </w:tc>
        <w:tc>
          <w:tcPr>
            <w:tcW w:w="1920" w:type="dxa"/>
            <w:noWrap w:val="0"/>
            <w:vAlign w:val="center"/>
          </w:tcPr>
          <w:p>
            <w:pPr>
              <w:widowControl w:val="0"/>
              <w:spacing w:before="116" w:line="219" w:lineRule="auto"/>
              <w:ind w:left="324" w:leftChars="0"/>
              <w:jc w:val="both"/>
              <w:rPr>
                <w:rFonts w:hint="eastAsia" w:ascii="仿宋" w:hAnsi="仿宋" w:eastAsia="仿宋" w:cs="仿宋"/>
                <w:sz w:val="32"/>
                <w:szCs w:val="32"/>
                <w:vertAlign w:val="baseline"/>
              </w:rPr>
            </w:pPr>
            <w:r>
              <w:rPr>
                <w:rFonts w:hint="eastAsia" w:ascii="宋体" w:hAnsi="宋体" w:eastAsia="宋体" w:cs="宋体"/>
                <w:b w:val="0"/>
                <w:bCs w:val="0"/>
                <w:spacing w:val="-2"/>
                <w:sz w:val="24"/>
                <w:szCs w:val="24"/>
              </w:rPr>
              <w:t>禁止事项</w:t>
            </w:r>
          </w:p>
        </w:tc>
        <w:tc>
          <w:tcPr>
            <w:tcW w:w="7425" w:type="dxa"/>
            <w:noWrap w:val="0"/>
            <w:vAlign w:val="center"/>
          </w:tcPr>
          <w:p>
            <w:pPr>
              <w:widowControl w:val="0"/>
              <w:spacing w:before="116" w:line="219" w:lineRule="auto"/>
              <w:ind w:left="2845" w:leftChars="0"/>
              <w:jc w:val="both"/>
              <w:rPr>
                <w:rFonts w:hint="eastAsia" w:ascii="仿宋" w:hAnsi="仿宋" w:eastAsia="仿宋" w:cs="仿宋"/>
                <w:sz w:val="32"/>
                <w:szCs w:val="32"/>
                <w:vertAlign w:val="baseline"/>
              </w:rPr>
            </w:pPr>
            <w:r>
              <w:rPr>
                <w:rFonts w:hint="eastAsia" w:ascii="宋体" w:hAnsi="宋体" w:eastAsia="宋体" w:cs="宋体"/>
                <w:b w:val="0"/>
                <w:bCs w:val="0"/>
                <w:spacing w:val="12"/>
                <w:sz w:val="24"/>
                <w:szCs w:val="24"/>
              </w:rPr>
              <w:t>具</w:t>
            </w:r>
            <w:r>
              <w:rPr>
                <w:rFonts w:hint="eastAsia" w:ascii="宋体" w:hAnsi="宋体" w:eastAsia="宋体" w:cs="宋体"/>
                <w:b w:val="0"/>
                <w:bCs w:val="0"/>
                <w:spacing w:val="11"/>
                <w:sz w:val="24"/>
                <w:szCs w:val="24"/>
              </w:rPr>
              <w:t>体内容</w:t>
            </w:r>
          </w:p>
        </w:tc>
        <w:tc>
          <w:tcPr>
            <w:tcW w:w="3749" w:type="dxa"/>
            <w:noWrap w:val="0"/>
            <w:vAlign w:val="center"/>
          </w:tcPr>
          <w:p>
            <w:pPr>
              <w:widowControl w:val="0"/>
              <w:spacing w:before="114" w:line="219" w:lineRule="auto"/>
              <w:ind w:left="410" w:leftChars="0"/>
              <w:jc w:val="both"/>
              <w:rPr>
                <w:rFonts w:hint="eastAsia" w:ascii="仿宋" w:hAnsi="仿宋" w:eastAsia="仿宋" w:cs="仿宋"/>
                <w:sz w:val="32"/>
                <w:szCs w:val="32"/>
                <w:vertAlign w:val="baseline"/>
              </w:rPr>
            </w:pPr>
            <w:r>
              <w:rPr>
                <w:rFonts w:hint="eastAsia" w:ascii="宋体" w:hAnsi="宋体" w:eastAsia="宋体" w:cs="宋体"/>
                <w:b w:val="0"/>
                <w:bCs w:val="0"/>
                <w:spacing w:val="-1"/>
                <w:sz w:val="24"/>
                <w:szCs w:val="24"/>
              </w:rPr>
              <w:t>相关法律、法规和其</w:t>
            </w:r>
            <w:r>
              <w:rPr>
                <w:rFonts w:hint="eastAsia" w:ascii="宋体" w:hAnsi="宋体" w:eastAsia="宋体" w:cs="宋体"/>
                <w:b w:val="0"/>
                <w:bCs w:val="0"/>
                <w:sz w:val="24"/>
                <w:szCs w:val="24"/>
              </w:rPr>
              <w:t>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trPr>
        <w:tc>
          <w:tcPr>
            <w:tcW w:w="975" w:type="dxa"/>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4"/>
                <w:szCs w:val="24"/>
                <w:vertAlign w:val="baseline"/>
              </w:rPr>
            </w:pPr>
            <w:r>
              <w:rPr>
                <w:rFonts w:hint="eastAsia" w:ascii="宋体" w:hAnsi="宋体" w:eastAsia="宋体" w:cs="宋体"/>
                <w:sz w:val="24"/>
                <w:szCs w:val="24"/>
              </w:rPr>
              <w:t>4</w:t>
            </w:r>
          </w:p>
        </w:tc>
        <w:tc>
          <w:tcPr>
            <w:tcW w:w="1920" w:type="dxa"/>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以不合理的条件限制、排斥投标人或潜在投标人</w:t>
            </w:r>
          </w:p>
        </w:tc>
        <w:tc>
          <w:tcPr>
            <w:tcW w:w="7425" w:type="dxa"/>
            <w:tcBorders>
              <w:bottom w:val="single" w:color="auto" w:sz="4" w:space="0"/>
            </w:tcBorders>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ind w:left="0" w:leftChars="0" w:right="0" w:firstLine="0" w:firstLineChars="0"/>
              <w:jc w:val="left"/>
              <w:textAlignment w:val="baseline"/>
              <w:rPr>
                <w:rFonts w:hint="eastAsia" w:ascii="仿宋" w:hAnsi="仿宋" w:eastAsia="仿宋" w:cs="仿宋"/>
                <w:sz w:val="18"/>
                <w:szCs w:val="1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1.就同一招标项目向潜在投标人或者投标人提供有差别的项目信息。                                                      2.设定的资格、技术、商务条件与招标项目的具体特点和实际需要不相适应或者与合同履行无关。                            </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3.依法必须进行招标的项目以特定行政区域或者特定行业的业绩、奖项作为加分条件或者中标条件。                        </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4.对潜在投标人或者投标人采取不同的资格审查或者评标标准。                                                      5.限定或者指定特定的专利、商标、品牌、原产地或者供应商。</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6.依法必须进行招标的项目非法限定潜在投标人或者投标人的所有制形式或者组织形式。                                 </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7.强制要求投标人组成联合体投标。</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8.将国家已经明令取消的资质资格作为投标条件、加分条件、中标条件。在国家已经明令取消资质资格的领域，将其他资质资格作为投标条件、加分条件、中标条件。</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9.将政府部门、行业协会商会或者其他机构对投标人作出的荣誉奖励和慈善公益证明等作为投标条件、中标条件。</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10.要求投标人在本地注册设立子公司、分公司、分支机构，在本地拥有一定办公面积，在本地缴纳社会保险等。</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11.政府相关官网可以查询的资质信息，要求投标企业在投标中提供证书原件。对按规定可以采用“多证合一”电子证照的，要求必须提供纸质证照。</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12.对于初始注册建筑类最低资质等级的企业能够承揽的政府投资工程建设项目，在招标文件中提出工程业绩要求或设置明显不利于初始注册企业的招标条件。</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13.将资格预审文件和招标文件发布截止时间、递交资格预审申请文件截止时间、投标截止时间设在国家法定休假日。</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14.施工总承包招标项目，要求投标人具备总承包资质范围内的专业资质。</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15.同一招标项目要求投标人具备多项资质的，排斥联合体投标。</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16.招标人要求投标人具备类似业绩的，设置的业绩条件超过该标段相关指标要求。</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17.以其他不合理条件限制、排斥潜在投标人或者投标人。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ind w:left="0" w:leftChars="0" w:right="0" w:firstLine="0" w:firstLineChars="0"/>
              <w:jc w:val="left"/>
              <w:textAlignment w:val="baseline"/>
              <w:rPr>
                <w:rFonts w:hint="eastAsia" w:ascii="仿宋" w:hAnsi="仿宋" w:eastAsia="仿宋" w:cs="仿宋"/>
                <w:sz w:val="18"/>
                <w:szCs w:val="18"/>
                <w:lang w:val="en-US" w:eastAsia="zh-CN"/>
              </w:rPr>
            </w:pPr>
          </w:p>
        </w:tc>
        <w:tc>
          <w:tcPr>
            <w:tcW w:w="3749" w:type="dxa"/>
            <w:tcBorders>
              <w:bottom w:val="single" w:color="auto" w:sz="4" w:space="0"/>
            </w:tcBorders>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《招标投标法》第十八条，第二十条，第三十一条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《招标投标法实施条例》第二十四条，第三十二条，第三十三条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《工程项目招标投标领域营商环境专项整治工作方案》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微软雅黑" w:cs="仿宋"/>
                <w:sz w:val="24"/>
                <w:szCs w:val="24"/>
                <w:lang w:val="en-US" w:eastAsia="zh-CN"/>
              </w:rPr>
            </w:pPr>
            <w:r>
              <w:rPr>
                <w:rFonts w:hint="eastAsia" w:ascii="仿宋" w:hAnsi="仿宋" w:eastAsia="仿宋" w:cs="仿宋"/>
                <w:sz w:val="24"/>
                <w:szCs w:val="24"/>
                <w:lang w:val="en-US" w:eastAsia="zh-CN"/>
              </w:rPr>
              <w:t>《建筑业企业资质标准》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75" w:type="dxa"/>
            <w:tcBorders>
              <w:top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right="0"/>
              <w:jc w:val="center"/>
              <w:textAlignment w:val="baseline"/>
              <w:rPr>
                <w:rFonts w:hint="eastAsia" w:ascii="仿宋" w:hAnsi="仿宋" w:eastAsia="仿宋" w:cs="仿宋"/>
                <w:sz w:val="24"/>
                <w:szCs w:val="24"/>
                <w:vertAlign w:val="baseline"/>
              </w:rPr>
            </w:pPr>
            <w:r>
              <w:rPr>
                <w:rFonts w:ascii="宋体" w:hAnsi="宋体" w:eastAsia="宋体" w:cs="宋体"/>
                <w:sz w:val="24"/>
                <w:szCs w:val="24"/>
              </w:rPr>
              <w:t>5</w:t>
            </w:r>
          </w:p>
        </w:tc>
        <w:tc>
          <w:tcPr>
            <w:tcW w:w="192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10" w:firstLineChars="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违法组织投标人踏勘现场</w:t>
            </w:r>
          </w:p>
        </w:tc>
        <w:tc>
          <w:tcPr>
            <w:tcW w:w="742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组织单个或者部分潜在投标人踏勘项目现场。</w:t>
            </w:r>
          </w:p>
        </w:tc>
        <w:tc>
          <w:tcPr>
            <w:tcW w:w="3749" w:type="dxa"/>
            <w:tcBorders>
              <w:top w:val="single" w:color="auto" w:sz="4" w:space="0"/>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hanging="119" w:firstLine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《招标投标法实施条例》第二十八条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7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center"/>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920"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透露潜在投标人信息等情况</w:t>
            </w:r>
          </w:p>
        </w:tc>
        <w:tc>
          <w:tcPr>
            <w:tcW w:w="74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向他人透露已获取招标文件的潜在投标人的信息以及可能影响公平竞争的有关招标投标的其他情况。</w:t>
            </w:r>
          </w:p>
        </w:tc>
        <w:tc>
          <w:tcPr>
            <w:tcW w:w="374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hanging="119" w:firstLine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《招标投标法》第二十二条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right="0"/>
              <w:jc w:val="center"/>
              <w:textAlignment w:val="baseline"/>
              <w:rPr>
                <w:rFonts w:hint="eastAsia" w:ascii="仿宋" w:hAnsi="仿宋" w:eastAsia="仿宋" w:cs="仿宋"/>
                <w:sz w:val="24"/>
                <w:szCs w:val="24"/>
                <w:vertAlign w:val="baseline"/>
              </w:rPr>
            </w:pPr>
            <w:r>
              <w:rPr>
                <w:rFonts w:ascii="宋体" w:hAnsi="宋体" w:eastAsia="宋体" w:cs="宋体"/>
                <w:sz w:val="24"/>
                <w:szCs w:val="24"/>
              </w:rPr>
              <w:t>7</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10" w:firstLineChars="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不按规定发售资格预审文件或招标文件</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1.不按资格预审公告、招标公告或者投标邀请书规定的时间、地点发售(发布)资格预审文件或者招标文件。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leftChars="0"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2.资格预审文件或招标文件发售期少于5日，电子文件收取费用或纸质文件售价明显高于印刷和邮寄成本，以营利为目的。</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leftChars="0" w:right="0" w:rightChars="0"/>
              <w:jc w:val="both"/>
              <w:textAlignment w:val="baseline"/>
              <w:rPr>
                <w:rFonts w:hint="eastAsia" w:ascii="仿宋" w:hAnsi="仿宋" w:eastAsia="仿宋" w:cs="仿宋"/>
                <w:sz w:val="24"/>
                <w:szCs w:val="24"/>
                <w:lang w:val="en-US" w:eastAsia="zh-CN"/>
              </w:rPr>
            </w:pPr>
          </w:p>
        </w:tc>
        <w:tc>
          <w:tcPr>
            <w:tcW w:w="374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hanging="119" w:firstLine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《招标投标法实施条例》第十六条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75" w:type="dxa"/>
            <w:noWrap w:val="0"/>
            <w:vAlign w:val="center"/>
          </w:tcPr>
          <w:p>
            <w:pPr>
              <w:widowControl w:val="0"/>
              <w:spacing w:before="117" w:line="221" w:lineRule="auto"/>
              <w:ind w:left="198" w:leftChars="0"/>
              <w:jc w:val="both"/>
              <w:rPr>
                <w:rFonts w:hint="eastAsia" w:ascii="仿宋" w:hAnsi="仿宋" w:eastAsia="仿宋" w:cs="仿宋"/>
                <w:snapToGrid w:val="0"/>
                <w:color w:val="000000"/>
                <w:kern w:val="0"/>
                <w:sz w:val="24"/>
                <w:szCs w:val="24"/>
                <w:vertAlign w:val="baseline"/>
              </w:rPr>
            </w:pPr>
            <w:r>
              <w:rPr>
                <w:rFonts w:hint="eastAsia" w:ascii="宋体" w:hAnsi="宋体" w:eastAsia="宋体" w:cs="宋体"/>
                <w:b w:val="0"/>
                <w:bCs w:val="0"/>
                <w:spacing w:val="-3"/>
                <w:sz w:val="24"/>
                <w:szCs w:val="24"/>
              </w:rPr>
              <w:t>序</w:t>
            </w:r>
            <w:r>
              <w:rPr>
                <w:rFonts w:hint="eastAsia" w:ascii="宋体" w:hAnsi="宋体" w:eastAsia="宋体" w:cs="宋体"/>
                <w:b w:val="0"/>
                <w:bCs w:val="0"/>
                <w:spacing w:val="-2"/>
                <w:sz w:val="24"/>
                <w:szCs w:val="24"/>
              </w:rPr>
              <w:t>号</w:t>
            </w:r>
          </w:p>
        </w:tc>
        <w:tc>
          <w:tcPr>
            <w:tcW w:w="1920" w:type="dxa"/>
            <w:noWrap w:val="0"/>
            <w:vAlign w:val="center"/>
          </w:tcPr>
          <w:p>
            <w:pPr>
              <w:widowControl w:val="0"/>
              <w:spacing w:before="116" w:line="219" w:lineRule="auto"/>
              <w:ind w:left="324" w:leftChars="0"/>
              <w:jc w:val="both"/>
              <w:rPr>
                <w:rFonts w:hint="eastAsia" w:ascii="仿宋" w:hAnsi="仿宋" w:eastAsia="仿宋" w:cs="仿宋"/>
                <w:snapToGrid w:val="0"/>
                <w:color w:val="000000"/>
                <w:kern w:val="0"/>
                <w:sz w:val="24"/>
                <w:szCs w:val="24"/>
                <w:vertAlign w:val="baseline"/>
                <w:lang w:val="en-US" w:eastAsia="zh-CN"/>
              </w:rPr>
            </w:pPr>
            <w:r>
              <w:rPr>
                <w:rFonts w:hint="eastAsia" w:ascii="宋体" w:hAnsi="宋体" w:eastAsia="宋体" w:cs="宋体"/>
                <w:b w:val="0"/>
                <w:bCs w:val="0"/>
                <w:spacing w:val="-2"/>
                <w:sz w:val="24"/>
                <w:szCs w:val="24"/>
              </w:rPr>
              <w:t>禁止事项</w:t>
            </w:r>
          </w:p>
        </w:tc>
        <w:tc>
          <w:tcPr>
            <w:tcW w:w="7425" w:type="dxa"/>
            <w:noWrap w:val="0"/>
            <w:vAlign w:val="center"/>
          </w:tcPr>
          <w:p>
            <w:pPr>
              <w:widowControl w:val="0"/>
              <w:spacing w:before="116" w:line="219" w:lineRule="auto"/>
              <w:ind w:left="2845" w:leftChars="0"/>
              <w:jc w:val="both"/>
              <w:rPr>
                <w:rFonts w:hint="eastAsia" w:ascii="仿宋" w:hAnsi="仿宋" w:eastAsia="仿宋" w:cs="仿宋"/>
                <w:snapToGrid w:val="0"/>
                <w:color w:val="000000"/>
                <w:kern w:val="0"/>
                <w:sz w:val="24"/>
                <w:szCs w:val="24"/>
                <w:vertAlign w:val="baseline"/>
                <w:lang w:val="en-US" w:eastAsia="zh-CN"/>
              </w:rPr>
            </w:pPr>
            <w:r>
              <w:rPr>
                <w:rFonts w:hint="eastAsia" w:ascii="宋体" w:hAnsi="宋体" w:eastAsia="宋体" w:cs="宋体"/>
                <w:b w:val="0"/>
                <w:bCs w:val="0"/>
                <w:spacing w:val="12"/>
                <w:sz w:val="24"/>
                <w:szCs w:val="24"/>
              </w:rPr>
              <w:t>具</w:t>
            </w:r>
            <w:r>
              <w:rPr>
                <w:rFonts w:hint="eastAsia" w:ascii="宋体" w:hAnsi="宋体" w:eastAsia="宋体" w:cs="宋体"/>
                <w:b w:val="0"/>
                <w:bCs w:val="0"/>
                <w:spacing w:val="11"/>
                <w:sz w:val="24"/>
                <w:szCs w:val="24"/>
              </w:rPr>
              <w:t>体内容</w:t>
            </w:r>
          </w:p>
        </w:tc>
        <w:tc>
          <w:tcPr>
            <w:tcW w:w="3749" w:type="dxa"/>
            <w:noWrap w:val="0"/>
            <w:vAlign w:val="center"/>
          </w:tcPr>
          <w:p>
            <w:pPr>
              <w:widowControl w:val="0"/>
              <w:spacing w:before="114" w:line="219" w:lineRule="auto"/>
              <w:ind w:left="410" w:leftChars="0"/>
              <w:jc w:val="both"/>
              <w:rPr>
                <w:rFonts w:hint="eastAsia" w:ascii="仿宋" w:hAnsi="仿宋" w:eastAsia="仿宋" w:cs="仿宋"/>
                <w:snapToGrid w:val="0"/>
                <w:color w:val="000000"/>
                <w:kern w:val="0"/>
                <w:sz w:val="24"/>
                <w:szCs w:val="24"/>
                <w:vertAlign w:val="baseline"/>
                <w:lang w:val="en-US" w:eastAsia="zh-CN"/>
              </w:rPr>
            </w:pPr>
            <w:r>
              <w:rPr>
                <w:rFonts w:hint="eastAsia" w:ascii="宋体" w:hAnsi="宋体" w:eastAsia="宋体" w:cs="宋体"/>
                <w:b w:val="0"/>
                <w:bCs w:val="0"/>
                <w:spacing w:val="-1"/>
                <w:sz w:val="24"/>
                <w:szCs w:val="24"/>
              </w:rPr>
              <w:t>相关法律、法规和其</w:t>
            </w:r>
            <w:r>
              <w:rPr>
                <w:rFonts w:hint="eastAsia" w:ascii="宋体" w:hAnsi="宋体" w:eastAsia="宋体" w:cs="宋体"/>
                <w:b w:val="0"/>
                <w:bCs w:val="0"/>
                <w:sz w:val="24"/>
                <w:szCs w:val="24"/>
              </w:rPr>
              <w:t>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right="0"/>
              <w:jc w:val="center"/>
              <w:textAlignment w:val="baseline"/>
              <w:rPr>
                <w:rFonts w:hint="eastAsia" w:ascii="仿宋" w:hAnsi="仿宋" w:eastAsia="仿宋" w:cs="仿宋"/>
                <w:sz w:val="24"/>
                <w:szCs w:val="24"/>
                <w:vertAlign w:val="baseline"/>
              </w:rPr>
            </w:pPr>
            <w:r>
              <w:rPr>
                <w:rFonts w:ascii="宋体" w:hAnsi="宋体" w:eastAsia="宋体" w:cs="宋体"/>
                <w:sz w:val="24"/>
                <w:szCs w:val="24"/>
              </w:rPr>
              <w:t>8</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right="0" w:rightChars="0"/>
              <w:jc w:val="left"/>
              <w:textAlignment w:val="baseline"/>
              <w:rPr>
                <w:rFonts w:hint="eastAsia" w:ascii="仿宋" w:hAnsi="仿宋" w:eastAsia="宋体" w:cs="仿宋"/>
                <w:sz w:val="24"/>
                <w:szCs w:val="24"/>
                <w:vertAlign w:val="baseline"/>
                <w:lang w:val="en-US" w:eastAsia="zh-CN"/>
              </w:rPr>
            </w:pPr>
            <w:r>
              <w:rPr>
                <w:rFonts w:hint="eastAsia" w:ascii="仿宋" w:hAnsi="仿宋" w:eastAsia="仿宋" w:cs="仿宋"/>
                <w:sz w:val="24"/>
                <w:szCs w:val="24"/>
                <w:lang w:val="en-US" w:eastAsia="zh-CN"/>
              </w:rPr>
              <w:t>不按规定收取投标保证金和履约保证金</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1.限定投标保证金、履约保证金只能以现金形式提交</w:t>
            </w:r>
            <w:r>
              <w:rPr>
                <w:rFonts w:hint="default" w:ascii="仿宋" w:hAnsi="仿宋" w:eastAsia="仿宋" w:cs="仿宋"/>
                <w:sz w:val="24"/>
                <w:szCs w:val="24"/>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w:t>
            </w:r>
            <w:r>
              <w:rPr>
                <w:rFonts w:hint="eastAsia" w:ascii="仿宋" w:hAnsi="仿宋" w:eastAsia="仿宋" w:cs="仿宋"/>
                <w:sz w:val="24"/>
                <w:szCs w:val="24"/>
                <w:lang w:val="en-US" w:eastAsia="zh-CN"/>
              </w:rPr>
              <w:t>不按规定或者合同约定返还保证金。</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3.不按规定擅自提高投标保证金和履约保证金额度。</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default" w:ascii="宋体" w:hAnsi="宋体" w:eastAsia="宋体" w:cs="宋体"/>
                <w:spacing w:val="-1"/>
                <w:sz w:val="24"/>
                <w:szCs w:val="24"/>
              </w:rPr>
            </w:pPr>
            <w:r>
              <w:rPr>
                <w:rFonts w:hint="default" w:ascii="仿宋" w:hAnsi="仿宋" w:eastAsia="仿宋" w:cs="仿宋"/>
                <w:sz w:val="24"/>
                <w:szCs w:val="24"/>
                <w:lang w:val="en-US" w:eastAsia="zh-CN"/>
              </w:rPr>
              <w:t>4.政府采购工程招标，收取投标保证金和履约保证金。</w:t>
            </w:r>
          </w:p>
        </w:tc>
        <w:tc>
          <w:tcPr>
            <w:tcW w:w="374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hanging="119" w:firstLineChars="0"/>
              <w:jc w:val="both"/>
              <w:textAlignment w:val="baseline"/>
              <w:rPr>
                <w:rFonts w:hint="eastAsia" w:ascii="仿宋" w:hAnsi="仿宋" w:eastAsia="宋体" w:cs="仿宋"/>
                <w:sz w:val="24"/>
                <w:szCs w:val="24"/>
                <w:vertAlign w:val="baseline"/>
                <w:lang w:eastAsia="zh-CN"/>
              </w:rPr>
            </w:pPr>
            <w:r>
              <w:rPr>
                <w:rFonts w:hint="eastAsia" w:ascii="仿宋" w:hAnsi="仿宋" w:eastAsia="仿宋" w:cs="仿宋"/>
                <w:sz w:val="24"/>
                <w:szCs w:val="24"/>
                <w:lang w:val="en-US" w:eastAsia="zh-CN"/>
              </w:rPr>
              <w:t>《招标投标法实施条例》第五十八条</w:t>
            </w:r>
            <w:r>
              <w:rPr>
                <w:rFonts w:hint="default" w:ascii="仿宋" w:hAnsi="仿宋" w:eastAsia="仿宋" w:cs="仿宋"/>
                <w:sz w:val="24"/>
                <w:szCs w:val="24"/>
                <w:lang w:val="en-US" w:eastAsia="zh-CN"/>
              </w:rPr>
              <w:t>、</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省人民政府办公厅关于印发持续深化一流营商环境建设若干措施的通知</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鄂政办发〔2022〕2号</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《关于停止收取政府采购工程投标保证金、履约保证金有关事项的通知》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right="0"/>
              <w:jc w:val="center"/>
              <w:textAlignment w:val="baseline"/>
              <w:rPr>
                <w:rFonts w:hint="eastAsia" w:ascii="仿宋" w:hAnsi="仿宋" w:eastAsia="仿宋" w:cs="仿宋"/>
                <w:sz w:val="24"/>
                <w:szCs w:val="24"/>
                <w:vertAlign w:val="baseline"/>
              </w:rPr>
            </w:pPr>
            <w:r>
              <w:rPr>
                <w:rFonts w:ascii="宋体" w:hAnsi="宋体" w:eastAsia="宋体" w:cs="宋体"/>
                <w:sz w:val="24"/>
                <w:szCs w:val="24"/>
              </w:rPr>
              <w:t>9</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29" w:firstLineChars="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对资格预审文件或招标文件进行澄清或者修改程序不规范</w:t>
            </w:r>
          </w:p>
        </w:tc>
        <w:tc>
          <w:tcPr>
            <w:tcW w:w="74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对已发出的资格预审文件或者招标文件进行必要的澄清或者修改，澄清或者修改的内容可能影响资格预审申请文件或者投标文件编制、距提交资格预审申请文件截止时间不足3日或者距投标截止时间不足15日，不对提交资格预审申请文件或者投标文件的截止时间延期。</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《招标投标法》第二十三条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《招标投标法实施条例》第二十一条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9"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right="0"/>
              <w:jc w:val="center"/>
              <w:textAlignment w:val="baseline"/>
              <w:rPr>
                <w:rFonts w:hint="eastAsia" w:ascii="仿宋" w:hAnsi="仿宋" w:eastAsia="仿宋" w:cs="仿宋"/>
                <w:sz w:val="24"/>
                <w:szCs w:val="24"/>
                <w:vertAlign w:val="baseline"/>
              </w:rPr>
            </w:pPr>
            <w:r>
              <w:rPr>
                <w:rFonts w:ascii="宋体" w:hAnsi="宋体" w:eastAsia="宋体" w:cs="宋体"/>
                <w:spacing w:val="-8"/>
                <w:sz w:val="24"/>
                <w:szCs w:val="24"/>
              </w:rPr>
              <w:t>1</w:t>
            </w:r>
            <w:r>
              <w:rPr>
                <w:rFonts w:ascii="宋体" w:hAnsi="宋体" w:eastAsia="宋体" w:cs="宋体"/>
                <w:spacing w:val="-6"/>
                <w:sz w:val="24"/>
                <w:szCs w:val="24"/>
              </w:rPr>
              <w:t>0</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20" w:firstLineChars="0"/>
              <w:jc w:val="both"/>
              <w:textAlignment w:val="baseline"/>
              <w:rPr>
                <w:rFonts w:hint="eastAsia" w:ascii="仿宋" w:hAnsi="仿宋" w:eastAsia="仿宋" w:cs="仿宋"/>
                <w:color w:val="FF0000"/>
                <w:sz w:val="24"/>
                <w:szCs w:val="24"/>
                <w:vertAlign w:val="baseline"/>
              </w:rPr>
            </w:pPr>
            <w:r>
              <w:rPr>
                <w:rFonts w:hint="eastAsia" w:ascii="仿宋" w:hAnsi="仿宋" w:eastAsia="仿宋" w:cs="仿宋"/>
                <w:sz w:val="24"/>
                <w:szCs w:val="24"/>
                <w:lang w:val="en-US" w:eastAsia="zh-CN"/>
              </w:rPr>
              <w:t>开标程序不符合规定</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1.不按照招标文件规定的时间、地点组织开标。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2.接受依法应当拒收的资格预审申请文件、投标文件。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3.对已接受的投标文件开标时不宣读(不展示)。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4.招标项目设有标底的，在开标时不公布。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5.未完整记录开标情况影响投诉调查处理或者案件查办。</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6.在开标环节要求投标人的法定代表人必须到场，不接受经授权委托的投标人代表到场。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default" w:ascii="宋体" w:hAnsi="宋体" w:eastAsia="宋体" w:cs="宋体"/>
                <w:color w:val="FF0000"/>
                <w:sz w:val="24"/>
                <w:szCs w:val="24"/>
                <w:lang w:val="en-US" w:eastAsia="zh-CN"/>
              </w:rPr>
            </w:pPr>
            <w:r>
              <w:rPr>
                <w:rFonts w:hint="eastAsia" w:ascii="仿宋" w:hAnsi="仿宋" w:eastAsia="仿宋" w:cs="仿宋"/>
                <w:sz w:val="24"/>
                <w:szCs w:val="24"/>
                <w:lang w:val="en-US" w:eastAsia="zh-CN"/>
              </w:rPr>
              <w:t>7.在投标截止时间后，以投标文件密封不合格为由将投标人投标文件予以退回。</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《招标投标法》第二十八条，第三十四条，第三十六条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《招标投标法实施条例》第三十六条，第四十四条,第五十条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宋体" w:hAnsi="宋体" w:eastAsia="宋体" w:cs="宋体"/>
                <w:spacing w:val="10"/>
                <w:sz w:val="24"/>
                <w:szCs w:val="24"/>
              </w:rPr>
            </w:pPr>
            <w:r>
              <w:rPr>
                <w:rFonts w:hint="eastAsia" w:ascii="仿宋" w:hAnsi="仿宋" w:eastAsia="仿宋" w:cs="仿宋"/>
                <w:sz w:val="24"/>
                <w:szCs w:val="24"/>
                <w:lang w:val="en-US" w:eastAsia="zh-CN"/>
              </w:rPr>
              <w:t>《工程项目招投标领域营商环境专项整治工作方案》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75" w:type="dxa"/>
            <w:noWrap w:val="0"/>
            <w:vAlign w:val="center"/>
          </w:tcPr>
          <w:p>
            <w:pPr>
              <w:widowControl w:val="0"/>
              <w:spacing w:before="117" w:line="221" w:lineRule="auto"/>
              <w:ind w:left="198" w:leftChars="0"/>
              <w:jc w:val="both"/>
              <w:rPr>
                <w:rFonts w:hint="eastAsia" w:ascii="仿宋" w:hAnsi="仿宋" w:eastAsia="仿宋" w:cs="仿宋"/>
                <w:snapToGrid w:val="0"/>
                <w:color w:val="000000"/>
                <w:kern w:val="0"/>
                <w:sz w:val="24"/>
                <w:szCs w:val="24"/>
                <w:vertAlign w:val="baseline"/>
              </w:rPr>
            </w:pPr>
            <w:r>
              <w:rPr>
                <w:rFonts w:hint="eastAsia" w:ascii="宋体" w:hAnsi="宋体" w:eastAsia="宋体" w:cs="宋体"/>
                <w:b w:val="0"/>
                <w:bCs w:val="0"/>
                <w:spacing w:val="-3"/>
                <w:sz w:val="24"/>
                <w:szCs w:val="24"/>
              </w:rPr>
              <w:t>序</w:t>
            </w:r>
            <w:r>
              <w:rPr>
                <w:rFonts w:hint="eastAsia" w:ascii="宋体" w:hAnsi="宋体" w:eastAsia="宋体" w:cs="宋体"/>
                <w:b w:val="0"/>
                <w:bCs w:val="0"/>
                <w:spacing w:val="-2"/>
                <w:sz w:val="24"/>
                <w:szCs w:val="24"/>
              </w:rPr>
              <w:t>号</w:t>
            </w:r>
          </w:p>
        </w:tc>
        <w:tc>
          <w:tcPr>
            <w:tcW w:w="1920" w:type="dxa"/>
            <w:noWrap w:val="0"/>
            <w:vAlign w:val="center"/>
          </w:tcPr>
          <w:p>
            <w:pPr>
              <w:widowControl w:val="0"/>
              <w:spacing w:before="116" w:line="219" w:lineRule="auto"/>
              <w:ind w:left="324" w:leftChars="0"/>
              <w:jc w:val="both"/>
              <w:rPr>
                <w:rFonts w:hint="eastAsia" w:ascii="仿宋" w:hAnsi="仿宋" w:eastAsia="仿宋" w:cs="仿宋"/>
                <w:snapToGrid w:val="0"/>
                <w:color w:val="000000"/>
                <w:kern w:val="0"/>
                <w:sz w:val="24"/>
                <w:szCs w:val="24"/>
                <w:vertAlign w:val="baseline"/>
                <w:lang w:val="en-US" w:eastAsia="zh-CN"/>
              </w:rPr>
            </w:pPr>
            <w:r>
              <w:rPr>
                <w:rFonts w:hint="eastAsia" w:ascii="宋体" w:hAnsi="宋体" w:eastAsia="宋体" w:cs="宋体"/>
                <w:b w:val="0"/>
                <w:bCs w:val="0"/>
                <w:spacing w:val="-2"/>
                <w:sz w:val="24"/>
                <w:szCs w:val="24"/>
              </w:rPr>
              <w:t>禁止事项</w:t>
            </w:r>
          </w:p>
        </w:tc>
        <w:tc>
          <w:tcPr>
            <w:tcW w:w="7425" w:type="dxa"/>
            <w:noWrap w:val="0"/>
            <w:vAlign w:val="center"/>
          </w:tcPr>
          <w:p>
            <w:pPr>
              <w:widowControl w:val="0"/>
              <w:spacing w:before="116" w:line="219" w:lineRule="auto"/>
              <w:ind w:left="2845" w:leftChars="0"/>
              <w:jc w:val="both"/>
              <w:rPr>
                <w:rFonts w:hint="eastAsia" w:ascii="仿宋" w:hAnsi="仿宋" w:eastAsia="仿宋" w:cs="仿宋"/>
                <w:snapToGrid w:val="0"/>
                <w:color w:val="000000"/>
                <w:kern w:val="0"/>
                <w:sz w:val="24"/>
                <w:szCs w:val="24"/>
                <w:vertAlign w:val="baseline"/>
                <w:lang w:val="en-US" w:eastAsia="zh-CN"/>
              </w:rPr>
            </w:pPr>
            <w:r>
              <w:rPr>
                <w:rFonts w:hint="eastAsia" w:ascii="宋体" w:hAnsi="宋体" w:eastAsia="宋体" w:cs="宋体"/>
                <w:b w:val="0"/>
                <w:bCs w:val="0"/>
                <w:spacing w:val="12"/>
                <w:sz w:val="24"/>
                <w:szCs w:val="24"/>
              </w:rPr>
              <w:t>具</w:t>
            </w:r>
            <w:r>
              <w:rPr>
                <w:rFonts w:hint="eastAsia" w:ascii="宋体" w:hAnsi="宋体" w:eastAsia="宋体" w:cs="宋体"/>
                <w:b w:val="0"/>
                <w:bCs w:val="0"/>
                <w:spacing w:val="11"/>
                <w:sz w:val="24"/>
                <w:szCs w:val="24"/>
              </w:rPr>
              <w:t>体内容</w:t>
            </w:r>
          </w:p>
        </w:tc>
        <w:tc>
          <w:tcPr>
            <w:tcW w:w="3749" w:type="dxa"/>
            <w:noWrap w:val="0"/>
            <w:vAlign w:val="center"/>
          </w:tcPr>
          <w:p>
            <w:pPr>
              <w:widowControl w:val="0"/>
              <w:spacing w:before="114" w:line="219" w:lineRule="auto"/>
              <w:ind w:left="410" w:leftChars="0"/>
              <w:jc w:val="both"/>
              <w:rPr>
                <w:rFonts w:hint="eastAsia" w:ascii="仿宋" w:hAnsi="仿宋" w:eastAsia="仿宋" w:cs="仿宋"/>
                <w:snapToGrid w:val="0"/>
                <w:color w:val="000000"/>
                <w:kern w:val="0"/>
                <w:sz w:val="24"/>
                <w:szCs w:val="24"/>
                <w:vertAlign w:val="baseline"/>
                <w:lang w:val="en-US" w:eastAsia="zh-CN"/>
              </w:rPr>
            </w:pPr>
            <w:r>
              <w:rPr>
                <w:rFonts w:hint="eastAsia" w:ascii="宋体" w:hAnsi="宋体" w:eastAsia="宋体" w:cs="宋体"/>
                <w:b w:val="0"/>
                <w:bCs w:val="0"/>
                <w:spacing w:val="-1"/>
                <w:sz w:val="24"/>
                <w:szCs w:val="24"/>
              </w:rPr>
              <w:t>相关法律、法规和其</w:t>
            </w:r>
            <w:r>
              <w:rPr>
                <w:rFonts w:hint="eastAsia" w:ascii="宋体" w:hAnsi="宋体" w:eastAsia="宋体" w:cs="宋体"/>
                <w:b w:val="0"/>
                <w:bCs w:val="0"/>
                <w:sz w:val="24"/>
                <w:szCs w:val="24"/>
              </w:rPr>
              <w:t>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6"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4"/>
                <w:szCs w:val="24"/>
                <w:vertAlign w:val="baseline"/>
              </w:rPr>
            </w:pPr>
            <w:r>
              <w:rPr>
                <w:rFonts w:ascii="宋体" w:hAnsi="宋体" w:eastAsia="宋体" w:cs="宋体"/>
                <w:spacing w:val="-8"/>
                <w:sz w:val="24"/>
                <w:szCs w:val="24"/>
              </w:rPr>
              <w:t>1</w:t>
            </w:r>
            <w:r>
              <w:rPr>
                <w:rFonts w:ascii="宋体" w:hAnsi="宋体" w:eastAsia="宋体" w:cs="宋体"/>
                <w:spacing w:val="-6"/>
                <w:sz w:val="24"/>
                <w:szCs w:val="24"/>
              </w:rPr>
              <w:t>1</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不依法组建评标委员会及资格审查委员会</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1.招标人评委超过评标委员会(资格审查委员会)成员的三分之一。                                                       2.评标委员会(资格审查委员会)的专家成员不从依法组建的评标专家库内相关专业的专家名单中以随机抽取方式确定。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3.与投标人有利害关系的人进入相关项目的评标委员会(资格审查委员会)。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4.以明示、暗示等任何方式指定或者变相指定参加评标委员会(资格审查委员会)的专家成员。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5.非因法定的事由，更换依法确定的评标委员会(资格审查委员会)成员。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6.更换评标委员会(资格审查委员会)的专家成员不从评标专家库内相关专业的专家名单中以随机抽取方式确定。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7.行政监督部门的工作人员担任本部门负责监督项目的评标委员会成员。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8.在评标前二十四小时外，从省综合专家库中随机抽取专家。或按有关规定需要提前抽取专家的，未向评标所在地综合监管机构提出申请并获得批准。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default" w:ascii="仿宋" w:hAnsi="仿宋" w:eastAsia="仿宋" w:cs="仿宋"/>
                <w:sz w:val="24"/>
                <w:szCs w:val="24"/>
                <w:lang w:val="en-US" w:eastAsia="zh-CN"/>
              </w:rPr>
            </w:pP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《招标投标法》第三十七条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《招标投标法实施条例》第四十六条,第四十八条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《评标委员会和评标方法暂行规定》第十条、第十二条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《湖北省公共资源招标投标监督管理条例》第十四条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宋体" w:hAnsi="宋体" w:eastAsia="宋体" w:cs="宋体"/>
                <w:sz w:val="24"/>
                <w:szCs w:val="24"/>
                <w:lang w:eastAsia="zh-CN"/>
              </w:rPr>
            </w:pPr>
            <w:r>
              <w:rPr>
                <w:rFonts w:hint="eastAsia" w:ascii="仿宋" w:hAnsi="仿宋" w:eastAsia="仿宋" w:cs="仿宋"/>
                <w:sz w:val="24"/>
                <w:szCs w:val="24"/>
                <w:lang w:val="en-US" w:eastAsia="zh-CN"/>
              </w:rPr>
              <w:t>《湖北省评标（评审）专家及专家库管理办法》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75" w:type="dxa"/>
            <w:noWrap w:val="0"/>
            <w:vAlign w:val="center"/>
          </w:tcPr>
          <w:p>
            <w:pPr>
              <w:widowControl w:val="0"/>
              <w:spacing w:before="127" w:line="221" w:lineRule="auto"/>
              <w:ind w:left="108" w:leftChars="0"/>
              <w:jc w:val="both"/>
              <w:rPr>
                <w:rFonts w:hint="eastAsia" w:ascii="仿宋" w:hAnsi="仿宋" w:eastAsia="仿宋" w:cs="仿宋"/>
                <w:sz w:val="24"/>
                <w:szCs w:val="24"/>
                <w:vertAlign w:val="baseline"/>
              </w:rPr>
            </w:pPr>
            <w:r>
              <w:rPr>
                <w:rFonts w:hint="eastAsia" w:ascii="宋体" w:hAnsi="宋体" w:eastAsia="宋体" w:cs="宋体"/>
                <w:spacing w:val="-3"/>
                <w:sz w:val="23"/>
                <w:szCs w:val="23"/>
              </w:rPr>
              <w:t>序</w:t>
            </w:r>
            <w:r>
              <w:rPr>
                <w:rFonts w:hint="eastAsia" w:ascii="宋体" w:hAnsi="宋体" w:eastAsia="宋体" w:cs="宋体"/>
                <w:spacing w:val="-2"/>
                <w:sz w:val="23"/>
                <w:szCs w:val="23"/>
              </w:rPr>
              <w:t>号</w:t>
            </w:r>
          </w:p>
        </w:tc>
        <w:tc>
          <w:tcPr>
            <w:tcW w:w="1920" w:type="dxa"/>
            <w:noWrap w:val="0"/>
            <w:vAlign w:val="center"/>
          </w:tcPr>
          <w:p>
            <w:pPr>
              <w:widowControl w:val="0"/>
              <w:spacing w:before="126" w:line="219" w:lineRule="auto"/>
              <w:ind w:left="354" w:leftChars="0"/>
              <w:jc w:val="both"/>
              <w:rPr>
                <w:rFonts w:hint="eastAsia" w:ascii="仿宋" w:hAnsi="仿宋" w:eastAsia="仿宋" w:cs="仿宋"/>
                <w:sz w:val="24"/>
                <w:szCs w:val="24"/>
                <w:vertAlign w:val="baseline"/>
              </w:rPr>
            </w:pPr>
            <w:r>
              <w:rPr>
                <w:rFonts w:hint="eastAsia" w:ascii="宋体" w:hAnsi="宋体" w:eastAsia="宋体" w:cs="宋体"/>
                <w:spacing w:val="-2"/>
                <w:sz w:val="23"/>
                <w:szCs w:val="23"/>
              </w:rPr>
              <w:t>禁止事项</w:t>
            </w:r>
          </w:p>
        </w:tc>
        <w:tc>
          <w:tcPr>
            <w:tcW w:w="7425" w:type="dxa"/>
            <w:noWrap w:val="0"/>
            <w:vAlign w:val="center"/>
          </w:tcPr>
          <w:p>
            <w:pPr>
              <w:widowControl w:val="0"/>
              <w:spacing w:before="126" w:line="219" w:lineRule="auto"/>
              <w:ind w:left="2845" w:leftChars="0"/>
              <w:jc w:val="both"/>
              <w:rPr>
                <w:rFonts w:hint="eastAsia" w:ascii="仿宋" w:hAnsi="仿宋" w:eastAsia="仿宋" w:cs="仿宋"/>
                <w:sz w:val="24"/>
                <w:szCs w:val="24"/>
                <w:vertAlign w:val="baseline"/>
              </w:rPr>
            </w:pPr>
            <w:r>
              <w:rPr>
                <w:rFonts w:hint="eastAsia" w:ascii="宋体" w:hAnsi="宋体" w:eastAsia="宋体" w:cs="宋体"/>
                <w:spacing w:val="12"/>
                <w:sz w:val="23"/>
                <w:szCs w:val="23"/>
              </w:rPr>
              <w:t>具</w:t>
            </w:r>
            <w:r>
              <w:rPr>
                <w:rFonts w:hint="eastAsia" w:ascii="宋体" w:hAnsi="宋体" w:eastAsia="宋体" w:cs="宋体"/>
                <w:spacing w:val="11"/>
                <w:sz w:val="23"/>
                <w:szCs w:val="23"/>
              </w:rPr>
              <w:t>体内容</w:t>
            </w:r>
          </w:p>
        </w:tc>
        <w:tc>
          <w:tcPr>
            <w:tcW w:w="3749" w:type="dxa"/>
            <w:noWrap w:val="0"/>
            <w:vAlign w:val="center"/>
          </w:tcPr>
          <w:p>
            <w:pPr>
              <w:widowControl w:val="0"/>
              <w:spacing w:before="124" w:line="219" w:lineRule="auto"/>
              <w:ind w:left="410" w:leftChars="0"/>
              <w:jc w:val="both"/>
              <w:rPr>
                <w:rFonts w:hint="eastAsia" w:ascii="仿宋" w:hAnsi="仿宋" w:eastAsia="仿宋" w:cs="仿宋"/>
                <w:sz w:val="24"/>
                <w:szCs w:val="24"/>
                <w:vertAlign w:val="baseline"/>
              </w:rPr>
            </w:pPr>
            <w:r>
              <w:rPr>
                <w:rFonts w:hint="eastAsia" w:ascii="宋体" w:hAnsi="宋体" w:eastAsia="宋体" w:cs="宋体"/>
                <w:spacing w:val="-1"/>
                <w:sz w:val="23"/>
                <w:szCs w:val="23"/>
              </w:rPr>
              <w:t>相关法律、法规和其</w:t>
            </w:r>
            <w:r>
              <w:rPr>
                <w:rFonts w:hint="eastAsia" w:ascii="宋体" w:hAnsi="宋体" w:eastAsia="宋体" w:cs="宋体"/>
                <w:sz w:val="23"/>
                <w:szCs w:val="23"/>
              </w:rPr>
              <w:t>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7"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1"/>
                <w:szCs w:val="21"/>
                <w:vertAlign w:val="baseline"/>
              </w:rPr>
            </w:pPr>
            <w:r>
              <w:rPr>
                <w:rFonts w:ascii="宋体" w:hAnsi="宋体" w:eastAsia="宋体" w:cs="宋体"/>
                <w:spacing w:val="-8"/>
                <w:sz w:val="21"/>
                <w:szCs w:val="21"/>
              </w:rPr>
              <w:t>1</w:t>
            </w:r>
            <w:r>
              <w:rPr>
                <w:rFonts w:ascii="宋体" w:hAnsi="宋体" w:eastAsia="宋体" w:cs="宋体"/>
                <w:spacing w:val="-6"/>
                <w:sz w:val="21"/>
                <w:szCs w:val="21"/>
              </w:rPr>
              <w:t>2</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20" w:firstLineChars="0"/>
              <w:jc w:val="left"/>
              <w:textAlignment w:val="baseline"/>
              <w:rPr>
                <w:rFonts w:hint="eastAsia" w:ascii="仿宋" w:hAnsi="仿宋" w:eastAsia="仿宋" w:cs="仿宋"/>
                <w:sz w:val="21"/>
                <w:szCs w:val="21"/>
                <w:vertAlign w:val="baseline"/>
              </w:rPr>
            </w:pPr>
            <w:r>
              <w:rPr>
                <w:rFonts w:hint="eastAsia" w:ascii="仿宋" w:hAnsi="仿宋" w:eastAsia="仿宋" w:cs="仿宋"/>
                <w:sz w:val="24"/>
                <w:szCs w:val="24"/>
                <w:lang w:val="en-US" w:eastAsia="zh-CN"/>
              </w:rPr>
              <w:t>非法干预或者影响评标过程和结果</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1.不按规定提前抽取评标专家，或将投标人名单及评标项目提前告知评标委员会成员的。</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2.未向评标委员会提供评标所必需的信息。</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3.招标人(代理机构)向评标委员会明示或暗示其倾向或排斥特定投标人。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4.在中标结果确定前泄露评标委员会(资格审查委员会)成员名单。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default" w:ascii="宋体" w:hAnsi="宋体" w:eastAsia="宋体" w:cs="宋体"/>
                <w:spacing w:val="-17"/>
                <w:sz w:val="21"/>
                <w:szCs w:val="21"/>
                <w:lang w:val="en-US" w:eastAsia="zh-CN"/>
              </w:rPr>
            </w:pPr>
            <w:r>
              <w:rPr>
                <w:rFonts w:hint="eastAsia" w:ascii="仿宋" w:hAnsi="仿宋" w:eastAsia="仿宋" w:cs="仿宋"/>
                <w:sz w:val="24"/>
                <w:szCs w:val="24"/>
                <w:lang w:val="en-US" w:eastAsia="zh-CN"/>
              </w:rPr>
              <w:t>5.不根据项目规模和技术复杂程度等因素合理确定评标时间。</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《招标投标法》第三十七条，第三十八条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《招标投标法实施条例》第四十八条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《评标委员会和评标方法暂行规定》第八条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1"/>
                <w:szCs w:val="21"/>
                <w:vertAlign w:val="baseline"/>
              </w:rPr>
            </w:pPr>
            <w:r>
              <w:rPr>
                <w:rFonts w:hint="eastAsia" w:ascii="仿宋" w:hAnsi="仿宋" w:eastAsia="仿宋" w:cs="仿宋"/>
                <w:sz w:val="24"/>
                <w:szCs w:val="24"/>
                <w:lang w:val="en-US" w:eastAsia="zh-CN"/>
              </w:rPr>
              <w:t>《湖北省公共资源招标投标监督管理条例》第十四条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3"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center"/>
              <w:textAlignment w:val="baseline"/>
              <w:rPr>
                <w:rFonts w:hint="eastAsia" w:ascii="仿宋" w:hAnsi="仿宋" w:eastAsia="宋体" w:cs="仿宋"/>
                <w:snapToGrid w:val="0"/>
                <w:color w:val="000000"/>
                <w:kern w:val="0"/>
                <w:sz w:val="21"/>
                <w:szCs w:val="21"/>
                <w:vertAlign w:val="baseline"/>
                <w:lang w:val="en-US" w:eastAsia="zh-CN"/>
              </w:rPr>
            </w:pPr>
            <w:r>
              <w:rPr>
                <w:rFonts w:hint="eastAsia" w:ascii="宋体" w:hAnsi="宋体" w:eastAsia="宋体" w:cs="宋体"/>
                <w:spacing w:val="-8"/>
                <w:sz w:val="21"/>
                <w:szCs w:val="21"/>
              </w:rPr>
              <w:t>1</w:t>
            </w:r>
            <w:r>
              <w:rPr>
                <w:rFonts w:hint="eastAsia" w:ascii="宋体" w:hAnsi="宋体" w:eastAsia="宋体" w:cs="宋体"/>
                <w:spacing w:val="-8"/>
                <w:sz w:val="21"/>
                <w:szCs w:val="21"/>
                <w:lang w:val="en-US" w:eastAsia="zh-CN"/>
              </w:rPr>
              <w:t>3</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20" w:firstLineChars="0"/>
              <w:jc w:val="left"/>
              <w:textAlignment w:val="baseline"/>
              <w:rPr>
                <w:rFonts w:hint="eastAsia" w:ascii="仿宋" w:hAnsi="仿宋" w:eastAsia="仿宋" w:cs="仿宋"/>
                <w:snapToGrid w:val="0"/>
                <w:color w:val="000000"/>
                <w:kern w:val="0"/>
                <w:sz w:val="21"/>
                <w:szCs w:val="21"/>
                <w:vertAlign w:val="baseline"/>
                <w:lang w:val="en-US" w:eastAsia="zh-CN"/>
              </w:rPr>
            </w:pPr>
            <w:r>
              <w:rPr>
                <w:rFonts w:hint="eastAsia" w:ascii="仿宋" w:hAnsi="仿宋" w:eastAsia="仿宋" w:cs="仿宋"/>
                <w:sz w:val="24"/>
                <w:szCs w:val="24"/>
                <w:lang w:val="en-US" w:eastAsia="zh-CN"/>
              </w:rPr>
              <w:t>不依法公示评标结果并确定中标人</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1.无正当理由不发出中标通知书。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2.在评标委员会依法推荐的中标候选人以外确定中标人，或在所有投标被评标委员会否决后自行确定中标人。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3.中标通知书发出后无正当理由改变中标结果。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4.拒绝签订合同。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5.在签订合同时提出额外附加条件。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6.收到评标报告后未在法律法规规定的时限内公示评标结果。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7.评标结果公示期少于规定的时限。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8.自中标通知书发出之日起三十日内未订立合同。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9.不按照招标文件和中标人的投标文件订立合同，或订立背离合同实质性内容的协议。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left="0" w:leftChars="0" w:right="0" w:rightChars="0" w:firstLine="0" w:firstLine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10.采用抽签、摇号等方式直接确定中标候选人。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left="0" w:leftChars="0" w:right="0" w:rightChars="0" w:firstLine="0" w:firstLineChars="0"/>
              <w:jc w:val="both"/>
              <w:textAlignment w:val="baseline"/>
              <w:rPr>
                <w:rFonts w:hint="eastAsia" w:ascii="仿宋" w:hAnsi="仿宋" w:eastAsia="仿宋" w:cs="仿宋"/>
                <w:sz w:val="24"/>
                <w:szCs w:val="24"/>
                <w:lang w:val="en-US" w:eastAsia="zh-CN"/>
              </w:rPr>
            </w:pP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《招标投标法》第四十条，第四十二条，第四十五条，第四十六条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《招标投标法实施条例》第五十四条，第五十五条，第五十七条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《湖北省公共资源招标投标监督管理条例》第十六条，第十七条,第十八条，第十九条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《工程项目招投标领域营商环境专项整治工作方案》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left="0" w:leftChars="0" w:right="0" w:rightChars="0" w:firstLine="0" w:firstLineChars="0"/>
              <w:jc w:val="both"/>
              <w:textAlignment w:val="baseline"/>
              <w:rPr>
                <w:rFonts w:hint="eastAsia" w:ascii="宋体" w:hAnsi="宋体" w:eastAsia="宋体" w:cs="宋体"/>
                <w:snapToGrid w:val="0"/>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75" w:type="dxa"/>
            <w:noWrap w:val="0"/>
            <w:vAlign w:val="center"/>
          </w:tcPr>
          <w:p>
            <w:pPr>
              <w:widowControl w:val="0"/>
              <w:spacing w:before="127" w:line="221" w:lineRule="auto"/>
              <w:ind w:left="108" w:leftChars="0"/>
              <w:jc w:val="both"/>
              <w:rPr>
                <w:rFonts w:hint="eastAsia" w:ascii="仿宋" w:hAnsi="仿宋" w:eastAsia="仿宋" w:cs="仿宋"/>
                <w:snapToGrid w:val="0"/>
                <w:color w:val="000000"/>
                <w:kern w:val="0"/>
                <w:sz w:val="32"/>
                <w:szCs w:val="32"/>
                <w:vertAlign w:val="baseline"/>
                <w:lang w:val="en-US" w:eastAsia="zh-CN"/>
              </w:rPr>
            </w:pPr>
            <w:r>
              <w:rPr>
                <w:rFonts w:hint="eastAsia" w:ascii="宋体" w:hAnsi="宋体" w:eastAsia="宋体" w:cs="宋体"/>
                <w:spacing w:val="-3"/>
                <w:sz w:val="23"/>
                <w:szCs w:val="23"/>
              </w:rPr>
              <w:t>序</w:t>
            </w:r>
            <w:r>
              <w:rPr>
                <w:rFonts w:hint="eastAsia" w:ascii="宋体" w:hAnsi="宋体" w:eastAsia="宋体" w:cs="宋体"/>
                <w:spacing w:val="-2"/>
                <w:sz w:val="23"/>
                <w:szCs w:val="23"/>
              </w:rPr>
              <w:t>号</w:t>
            </w:r>
          </w:p>
        </w:tc>
        <w:tc>
          <w:tcPr>
            <w:tcW w:w="1920" w:type="dxa"/>
            <w:noWrap w:val="0"/>
            <w:vAlign w:val="center"/>
          </w:tcPr>
          <w:p>
            <w:pPr>
              <w:widowControl w:val="0"/>
              <w:spacing w:before="126" w:line="219" w:lineRule="auto"/>
              <w:ind w:left="354" w:leftChars="0"/>
              <w:jc w:val="both"/>
              <w:rPr>
                <w:rFonts w:hint="eastAsia" w:ascii="仿宋" w:hAnsi="仿宋" w:eastAsia="仿宋" w:cs="仿宋"/>
                <w:snapToGrid w:val="0"/>
                <w:color w:val="000000"/>
                <w:kern w:val="0"/>
                <w:sz w:val="32"/>
                <w:szCs w:val="32"/>
                <w:vertAlign w:val="baseline"/>
                <w:lang w:val="en-US" w:eastAsia="zh-CN"/>
              </w:rPr>
            </w:pPr>
            <w:r>
              <w:rPr>
                <w:rFonts w:hint="eastAsia" w:ascii="宋体" w:hAnsi="宋体" w:eastAsia="宋体" w:cs="宋体"/>
                <w:spacing w:val="-2"/>
                <w:sz w:val="23"/>
                <w:szCs w:val="23"/>
              </w:rPr>
              <w:t>禁止事项</w:t>
            </w:r>
          </w:p>
        </w:tc>
        <w:tc>
          <w:tcPr>
            <w:tcW w:w="7425" w:type="dxa"/>
            <w:noWrap w:val="0"/>
            <w:vAlign w:val="center"/>
          </w:tcPr>
          <w:p>
            <w:pPr>
              <w:widowControl w:val="0"/>
              <w:spacing w:before="126" w:line="219" w:lineRule="auto"/>
              <w:ind w:left="2845" w:leftChars="0"/>
              <w:jc w:val="both"/>
              <w:rPr>
                <w:rFonts w:hint="eastAsia" w:ascii="仿宋" w:hAnsi="仿宋" w:eastAsia="仿宋" w:cs="仿宋"/>
                <w:snapToGrid w:val="0"/>
                <w:color w:val="000000"/>
                <w:kern w:val="0"/>
                <w:sz w:val="32"/>
                <w:szCs w:val="32"/>
                <w:vertAlign w:val="baseline"/>
                <w:lang w:val="en-US" w:eastAsia="zh-CN"/>
              </w:rPr>
            </w:pPr>
            <w:r>
              <w:rPr>
                <w:rFonts w:hint="eastAsia" w:ascii="宋体" w:hAnsi="宋体" w:eastAsia="宋体" w:cs="宋体"/>
                <w:spacing w:val="12"/>
                <w:sz w:val="23"/>
                <w:szCs w:val="23"/>
              </w:rPr>
              <w:t>具</w:t>
            </w:r>
            <w:r>
              <w:rPr>
                <w:rFonts w:hint="eastAsia" w:ascii="宋体" w:hAnsi="宋体" w:eastAsia="宋体" w:cs="宋体"/>
                <w:spacing w:val="11"/>
                <w:sz w:val="23"/>
                <w:szCs w:val="23"/>
              </w:rPr>
              <w:t>体内容</w:t>
            </w:r>
          </w:p>
        </w:tc>
        <w:tc>
          <w:tcPr>
            <w:tcW w:w="3749" w:type="dxa"/>
            <w:noWrap w:val="0"/>
            <w:vAlign w:val="center"/>
          </w:tcPr>
          <w:p>
            <w:pPr>
              <w:widowControl w:val="0"/>
              <w:spacing w:before="124" w:line="219" w:lineRule="auto"/>
              <w:ind w:left="410" w:leftChars="0"/>
              <w:jc w:val="both"/>
              <w:rPr>
                <w:rFonts w:hint="eastAsia" w:ascii="仿宋" w:hAnsi="仿宋" w:eastAsia="仿宋" w:cs="仿宋"/>
                <w:snapToGrid w:val="0"/>
                <w:color w:val="000000"/>
                <w:kern w:val="0"/>
                <w:sz w:val="32"/>
                <w:szCs w:val="32"/>
                <w:vertAlign w:val="baseline"/>
                <w:lang w:eastAsia="zh-CN"/>
              </w:rPr>
            </w:pPr>
            <w:r>
              <w:rPr>
                <w:rFonts w:hint="eastAsia" w:ascii="宋体" w:hAnsi="宋体" w:eastAsia="宋体" w:cs="宋体"/>
                <w:spacing w:val="-1"/>
                <w:sz w:val="23"/>
                <w:szCs w:val="23"/>
              </w:rPr>
              <w:t>相关法律、法规和其</w:t>
            </w:r>
            <w:r>
              <w:rPr>
                <w:rFonts w:hint="eastAsia" w:ascii="宋体" w:hAnsi="宋体" w:eastAsia="宋体" w:cs="宋体"/>
                <w:sz w:val="23"/>
                <w:szCs w:val="23"/>
              </w:rPr>
              <w:t>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center"/>
              <w:textAlignment w:val="baseline"/>
              <w:rPr>
                <w:rFonts w:hint="eastAsia" w:ascii="仿宋" w:hAnsi="仿宋" w:eastAsia="宋体" w:cs="仿宋"/>
                <w:snapToGrid w:val="0"/>
                <w:color w:val="000000"/>
                <w:kern w:val="0"/>
                <w:sz w:val="21"/>
                <w:szCs w:val="21"/>
                <w:vertAlign w:val="baseline"/>
                <w:lang w:val="en-US" w:eastAsia="zh-CN"/>
              </w:rPr>
            </w:pPr>
            <w:r>
              <w:rPr>
                <w:rFonts w:ascii="宋体" w:hAnsi="宋体" w:eastAsia="宋体" w:cs="宋体"/>
                <w:spacing w:val="-8"/>
                <w:sz w:val="21"/>
                <w:szCs w:val="21"/>
              </w:rPr>
              <w:t>1</w:t>
            </w:r>
            <w:r>
              <w:rPr>
                <w:rFonts w:hint="eastAsia" w:ascii="宋体" w:hAnsi="宋体" w:eastAsia="宋体" w:cs="宋体"/>
                <w:spacing w:val="-8"/>
                <w:sz w:val="21"/>
                <w:szCs w:val="21"/>
                <w:lang w:val="en-US" w:eastAsia="zh-CN"/>
              </w:rPr>
              <w:t>4</w:t>
            </w:r>
          </w:p>
        </w:tc>
        <w:tc>
          <w:tcPr>
            <w:tcW w:w="1920"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left="0" w:leftChars="0" w:right="0" w:rightChars="0" w:firstLine="0" w:firstLineChars="0"/>
              <w:jc w:val="both"/>
              <w:textAlignment w:val="baseline"/>
              <w:rPr>
                <w:rFonts w:hint="eastAsia" w:ascii="仿宋" w:hAnsi="仿宋" w:eastAsia="仿宋" w:cs="仿宋"/>
                <w:snapToGrid w:val="0"/>
                <w:color w:val="000000"/>
                <w:kern w:val="0"/>
                <w:sz w:val="24"/>
                <w:szCs w:val="24"/>
                <w:lang w:val="en-US" w:eastAsia="zh-CN"/>
              </w:rPr>
            </w:pPr>
            <w:r>
              <w:rPr>
                <w:rFonts w:hint="eastAsia" w:ascii="仿宋" w:hAnsi="仿宋" w:eastAsia="仿宋" w:cs="仿宋"/>
                <w:sz w:val="24"/>
                <w:szCs w:val="24"/>
                <w:lang w:val="en-US" w:eastAsia="zh-CN"/>
              </w:rPr>
              <w:t>不依法发布资格预审结果</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left="0" w:leftChars="0" w:right="0" w:rightChars="0" w:firstLine="0" w:firstLineChars="0"/>
              <w:jc w:val="both"/>
              <w:textAlignment w:val="baseline"/>
              <w:rPr>
                <w:rFonts w:hint="eastAsia" w:ascii="仿宋" w:hAnsi="仿宋" w:eastAsia="仿宋" w:cs="仿宋"/>
                <w:snapToGrid w:val="0"/>
                <w:color w:val="000000"/>
                <w:kern w:val="0"/>
                <w:sz w:val="24"/>
                <w:szCs w:val="24"/>
                <w:lang w:val="en-US" w:eastAsia="zh-CN"/>
              </w:rPr>
            </w:pPr>
            <w:r>
              <w:rPr>
                <w:rFonts w:hint="eastAsia" w:ascii="仿宋" w:hAnsi="仿宋" w:eastAsia="仿宋" w:cs="仿宋"/>
                <w:sz w:val="24"/>
                <w:szCs w:val="24"/>
                <w:lang w:val="en-US" w:eastAsia="zh-CN"/>
              </w:rPr>
              <w:t>资格预审结束后，不按法律法规的规定及时向资格预审申请人发出资格预审结果通知书，或以资格预审结果予以公示等形式泄露资格预审申请人名单。</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left="0" w:leftChars="0" w:right="0" w:rightChars="0" w:firstLine="0" w:firstLineChars="0"/>
              <w:jc w:val="both"/>
              <w:textAlignment w:val="baseline"/>
              <w:rPr>
                <w:rFonts w:hint="eastAsia" w:ascii="仿宋" w:hAnsi="仿宋" w:eastAsia="宋体" w:cs="仿宋"/>
                <w:snapToGrid w:val="0"/>
                <w:color w:val="000000"/>
                <w:kern w:val="0"/>
                <w:sz w:val="21"/>
                <w:szCs w:val="21"/>
                <w:vertAlign w:val="baseline"/>
                <w:lang w:eastAsia="zh-CN"/>
              </w:rPr>
            </w:pPr>
            <w:r>
              <w:rPr>
                <w:rFonts w:hint="eastAsia" w:ascii="仿宋" w:hAnsi="仿宋" w:eastAsia="仿宋" w:cs="仿宋"/>
                <w:sz w:val="24"/>
                <w:szCs w:val="24"/>
                <w:lang w:val="en-US" w:eastAsia="zh-CN"/>
              </w:rPr>
              <w:t>《招标投标法实施条例》第十九条、第四十一条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4"/>
                <w:szCs w:val="24"/>
                <w:vertAlign w:val="baseline"/>
              </w:rPr>
            </w:pPr>
            <w:r>
              <w:rPr>
                <w:rFonts w:hint="eastAsia" w:ascii="宋体" w:hAnsi="宋体" w:eastAsia="宋体" w:cs="宋体"/>
                <w:spacing w:val="-8"/>
                <w:sz w:val="24"/>
                <w:szCs w:val="24"/>
              </w:rPr>
              <w:t>1</w:t>
            </w:r>
            <w:r>
              <w:rPr>
                <w:rFonts w:hint="eastAsia" w:ascii="宋体" w:hAnsi="宋体" w:eastAsia="宋体" w:cs="宋体"/>
                <w:spacing w:val="-6"/>
                <w:sz w:val="24"/>
                <w:szCs w:val="24"/>
              </w:rPr>
              <w:t>5</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20" w:firstLineChars="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规避招标或与投标人串通</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1.在开标前开启投标文件并将有关信息泄露给其他投标人。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2.直接或者间接向投标人泄露标底、评标委员会成员等信息。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3.明示或者暗示投标人压低或者抬高投标报价。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4.授意投标人撤换、修改投标文件。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5.明示或者暗示投标人为特定投标人中标提供方便。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6.与投标人为谋求特定投标人中标而采取的其他串通行为。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7.在确定中标人前，与投标人就投标价格、投标方案等实质性内容进行谈判。</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《招标投标法》第二十二条，第三十二条，第四十三条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《招标投标法实施条例》第四十一条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《湖北省公共资源招标投标监督管理条例》第十九条</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hanging="119" w:firstLineChars="0"/>
              <w:jc w:val="both"/>
              <w:textAlignment w:val="baseline"/>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4"/>
                <w:szCs w:val="24"/>
                <w:vertAlign w:val="baseline"/>
              </w:rPr>
            </w:pPr>
            <w:r>
              <w:rPr>
                <w:rFonts w:hint="eastAsia" w:ascii="宋体" w:hAnsi="宋体" w:eastAsia="宋体" w:cs="宋体"/>
                <w:spacing w:val="-8"/>
                <w:sz w:val="24"/>
                <w:szCs w:val="24"/>
              </w:rPr>
              <w:t>1</w:t>
            </w:r>
            <w:r>
              <w:rPr>
                <w:rFonts w:hint="eastAsia" w:ascii="宋体" w:hAnsi="宋体" w:eastAsia="宋体" w:cs="宋体"/>
                <w:spacing w:val="-6"/>
                <w:sz w:val="24"/>
                <w:szCs w:val="24"/>
              </w:rPr>
              <w:t>6</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20" w:firstLineChars="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未按规定处理招标文件、开标、评标结果异议</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1.不在法定时限内对投标人(潜在投标人)或其他利害关系人提出的"异议"作出答复。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宋体" w:hAnsi="宋体" w:eastAsia="宋体" w:cs="宋体"/>
                <w:sz w:val="24"/>
                <w:szCs w:val="24"/>
              </w:rPr>
            </w:pPr>
            <w:r>
              <w:rPr>
                <w:rFonts w:hint="eastAsia" w:ascii="仿宋" w:hAnsi="仿宋" w:eastAsia="仿宋" w:cs="仿宋"/>
                <w:sz w:val="24"/>
                <w:szCs w:val="24"/>
                <w:lang w:val="en-US" w:eastAsia="zh-CN"/>
              </w:rPr>
              <w:t>2.对投标人(潜在投标人)或其他利害关系人提出的"异议"作出答复前，未暂停招标投标活动。</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《招标投标法实施条例》第二十二条，第四十四条，第五十四条</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hanging="119" w:firstLineChars="0"/>
              <w:jc w:val="both"/>
              <w:textAlignment w:val="baseline"/>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4"/>
                <w:szCs w:val="24"/>
                <w:vertAlign w:val="baseline"/>
              </w:rPr>
            </w:pPr>
            <w:r>
              <w:rPr>
                <w:rFonts w:ascii="宋体" w:hAnsi="宋体" w:eastAsia="宋体" w:cs="宋体"/>
                <w:spacing w:val="-8"/>
                <w:sz w:val="24"/>
                <w:szCs w:val="24"/>
              </w:rPr>
              <w:t>1</w:t>
            </w:r>
            <w:r>
              <w:rPr>
                <w:rFonts w:ascii="宋体" w:hAnsi="宋体" w:eastAsia="宋体" w:cs="宋体"/>
                <w:spacing w:val="-6"/>
                <w:sz w:val="24"/>
                <w:szCs w:val="24"/>
              </w:rPr>
              <w:t>7</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投诉不规范</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1.已查明的事实不接受，反复投诉、多处投诉，阻碍招标投标活动正常进行。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宋体" w:hAnsi="宋体" w:eastAsia="宋体" w:cs="宋体"/>
                <w:sz w:val="24"/>
                <w:szCs w:val="24"/>
                <w:lang w:val="en-US" w:eastAsia="zh-CN"/>
              </w:rPr>
            </w:pPr>
            <w:r>
              <w:rPr>
                <w:rFonts w:hint="eastAsia" w:ascii="仿宋" w:hAnsi="仿宋" w:eastAsia="仿宋" w:cs="仿宋"/>
                <w:sz w:val="24"/>
                <w:szCs w:val="24"/>
                <w:lang w:val="en-US" w:eastAsia="zh-CN"/>
              </w:rPr>
              <w:t>2.不按规定的格式、程序和要求进行投诉。</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《招标投标法实施条例》第六十一条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《工程建设项目招标投标活动投诉处理办法》第七条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宋体" w:hAnsi="宋体" w:eastAsia="宋体" w:cs="宋体"/>
                <w:spacing w:val="7"/>
                <w:sz w:val="24"/>
                <w:szCs w:val="24"/>
              </w:rPr>
            </w:pPr>
            <w:r>
              <w:rPr>
                <w:rFonts w:hint="eastAsia" w:ascii="仿宋" w:hAnsi="仿宋" w:eastAsia="仿宋" w:cs="仿宋"/>
                <w:sz w:val="21"/>
                <w:szCs w:val="21"/>
                <w:lang w:val="en-US" w:eastAsia="zh-CN"/>
              </w:rPr>
              <w:t>《湖北省公共资源招标投标投诉处理办法》（鄂公管委发〔2021〕7 号）第六条、第十四条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widowControl w:val="0"/>
              <w:spacing w:before="127" w:line="221" w:lineRule="auto"/>
              <w:ind w:left="168" w:leftChars="0"/>
              <w:jc w:val="both"/>
              <w:rPr>
                <w:rFonts w:hint="eastAsia" w:ascii="仿宋" w:hAnsi="仿宋" w:eastAsia="仿宋" w:cs="仿宋"/>
                <w:sz w:val="32"/>
                <w:szCs w:val="32"/>
                <w:vertAlign w:val="baseline"/>
              </w:rPr>
            </w:pPr>
            <w:r>
              <w:rPr>
                <w:rFonts w:ascii="宋体" w:hAnsi="宋体" w:eastAsia="宋体" w:cs="宋体"/>
                <w:spacing w:val="-3"/>
                <w:sz w:val="23"/>
                <w:szCs w:val="23"/>
              </w:rPr>
              <w:t>序</w:t>
            </w:r>
            <w:r>
              <w:rPr>
                <w:rFonts w:ascii="宋体" w:hAnsi="宋体" w:eastAsia="宋体" w:cs="宋体"/>
                <w:spacing w:val="-2"/>
                <w:sz w:val="23"/>
                <w:szCs w:val="23"/>
              </w:rPr>
              <w:t>号</w:t>
            </w:r>
          </w:p>
        </w:tc>
        <w:tc>
          <w:tcPr>
            <w:tcW w:w="1920" w:type="dxa"/>
            <w:noWrap w:val="0"/>
            <w:vAlign w:val="center"/>
          </w:tcPr>
          <w:p>
            <w:pPr>
              <w:widowControl w:val="0"/>
              <w:spacing w:before="126" w:line="219" w:lineRule="auto"/>
              <w:ind w:left="344" w:leftChars="0"/>
              <w:jc w:val="both"/>
              <w:rPr>
                <w:rFonts w:hint="eastAsia" w:ascii="仿宋" w:hAnsi="仿宋" w:eastAsia="仿宋" w:cs="仿宋"/>
                <w:sz w:val="32"/>
                <w:szCs w:val="32"/>
                <w:vertAlign w:val="baseline"/>
              </w:rPr>
            </w:pPr>
            <w:r>
              <w:rPr>
                <w:rFonts w:ascii="宋体" w:hAnsi="宋体" w:eastAsia="宋体" w:cs="宋体"/>
                <w:spacing w:val="-2"/>
                <w:sz w:val="23"/>
                <w:szCs w:val="23"/>
              </w:rPr>
              <w:t>禁止事项</w:t>
            </w:r>
          </w:p>
        </w:tc>
        <w:tc>
          <w:tcPr>
            <w:tcW w:w="7425" w:type="dxa"/>
            <w:noWrap w:val="0"/>
            <w:vAlign w:val="center"/>
          </w:tcPr>
          <w:p>
            <w:pPr>
              <w:widowControl w:val="0"/>
              <w:spacing w:before="126" w:line="219" w:lineRule="auto"/>
              <w:ind w:left="2865" w:leftChars="0"/>
              <w:jc w:val="both"/>
              <w:rPr>
                <w:rFonts w:hint="eastAsia" w:ascii="仿宋" w:hAnsi="仿宋" w:eastAsia="仿宋" w:cs="仿宋"/>
                <w:sz w:val="32"/>
                <w:szCs w:val="32"/>
                <w:vertAlign w:val="baseline"/>
              </w:rPr>
            </w:pPr>
            <w:r>
              <w:rPr>
                <w:rFonts w:ascii="宋体" w:hAnsi="宋体" w:eastAsia="宋体" w:cs="宋体"/>
                <w:spacing w:val="12"/>
                <w:sz w:val="23"/>
                <w:szCs w:val="23"/>
              </w:rPr>
              <w:t>具</w:t>
            </w:r>
            <w:r>
              <w:rPr>
                <w:rFonts w:ascii="宋体" w:hAnsi="宋体" w:eastAsia="宋体" w:cs="宋体"/>
                <w:spacing w:val="11"/>
                <w:sz w:val="23"/>
                <w:szCs w:val="23"/>
              </w:rPr>
              <w:t>体内容</w:t>
            </w:r>
          </w:p>
        </w:tc>
        <w:tc>
          <w:tcPr>
            <w:tcW w:w="3749" w:type="dxa"/>
            <w:noWrap w:val="0"/>
            <w:vAlign w:val="center"/>
          </w:tcPr>
          <w:p>
            <w:pPr>
              <w:widowControl w:val="0"/>
              <w:spacing w:before="124" w:line="219" w:lineRule="auto"/>
              <w:ind w:left="401" w:leftChars="0"/>
              <w:jc w:val="both"/>
              <w:rPr>
                <w:rFonts w:hint="eastAsia" w:ascii="仿宋" w:hAnsi="仿宋" w:eastAsia="仿宋" w:cs="仿宋"/>
                <w:sz w:val="32"/>
                <w:szCs w:val="32"/>
                <w:vertAlign w:val="baseline"/>
              </w:rPr>
            </w:pPr>
            <w:r>
              <w:rPr>
                <w:rFonts w:ascii="宋体" w:hAnsi="宋体" w:eastAsia="宋体" w:cs="宋体"/>
                <w:spacing w:val="-1"/>
                <w:sz w:val="23"/>
                <w:szCs w:val="23"/>
              </w:rPr>
              <w:t>相关法律、法规和其</w:t>
            </w:r>
            <w:r>
              <w:rPr>
                <w:rFonts w:ascii="宋体" w:hAnsi="宋体" w:eastAsia="宋体" w:cs="宋体"/>
                <w:sz w:val="23"/>
                <w:szCs w:val="23"/>
              </w:rPr>
              <w:t>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4"/>
                <w:szCs w:val="24"/>
                <w:vertAlign w:val="baseline"/>
              </w:rPr>
            </w:pPr>
            <w:r>
              <w:rPr>
                <w:rFonts w:ascii="宋体" w:hAnsi="宋体" w:eastAsia="宋体" w:cs="宋体"/>
                <w:spacing w:val="-8"/>
                <w:sz w:val="24"/>
                <w:szCs w:val="24"/>
              </w:rPr>
              <w:t>1</w:t>
            </w:r>
            <w:r>
              <w:rPr>
                <w:rFonts w:ascii="宋体" w:hAnsi="宋体" w:eastAsia="宋体" w:cs="宋体"/>
                <w:spacing w:val="-6"/>
                <w:sz w:val="24"/>
                <w:szCs w:val="24"/>
              </w:rPr>
              <w:t>8</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擅自中(终) 止招标及终止程序不规范</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1.擅自中止、终止招标。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终止招标时，不及时发布公告，或者未及时以书面形式通知被邀请的或者已经获取资格预审文件、招标文件的潜在投标人；已经发售资格预审文件、招标文件，不及时退还所收取的资格预审文件、招标文件的费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3.未能在投标有效期内完成定标，且不通知所有投标人延长投标有效期。</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《招标投标法实施条例》第三十一条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《评标委员会和评标方法暂行规定》第四十条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《湖北省公共资源招标投标监督管理条例》第十九条</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hanging="119" w:firstLineChars="0"/>
              <w:jc w:val="both"/>
              <w:textAlignment w:val="baseline"/>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default"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19</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left"/>
              <w:textAlignment w:val="baseline"/>
              <w:rPr>
                <w:rFonts w:hint="eastAsia" w:ascii="宋体" w:hAnsi="宋体" w:eastAsia="宋体" w:cs="宋体"/>
                <w:spacing w:val="6"/>
                <w:sz w:val="24"/>
                <w:szCs w:val="24"/>
              </w:rPr>
            </w:pPr>
            <w:r>
              <w:rPr>
                <w:rFonts w:hint="eastAsia" w:ascii="仿宋" w:hAnsi="仿宋" w:eastAsia="仿宋" w:cs="仿宋"/>
                <w:sz w:val="24"/>
                <w:szCs w:val="24"/>
                <w:lang w:val="en-US" w:eastAsia="zh-CN"/>
              </w:rPr>
              <w:t>不配合行政监 督部门依法实 施的监督检查</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1.不配合投诉调查处理或者案件查办。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宋体" w:hAnsi="宋体" w:eastAsia="宋体" w:cs="宋体"/>
                <w:spacing w:val="6"/>
                <w:sz w:val="24"/>
                <w:szCs w:val="24"/>
              </w:rPr>
            </w:pPr>
            <w:r>
              <w:rPr>
                <w:rFonts w:hint="eastAsia" w:ascii="仿宋" w:hAnsi="仿宋" w:eastAsia="仿宋" w:cs="仿宋"/>
                <w:sz w:val="24"/>
                <w:szCs w:val="24"/>
                <w:lang w:val="en-US" w:eastAsia="zh-CN"/>
              </w:rPr>
              <w:t>2.在有关部门处理投诉、查办案件调查有关情况时，提供虚假情况或者作伪证。</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《招标投标法实施条例》第六十二条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《湖北省公共资源招标投标监督管理条例》第二十四条</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widowControl w:val="0"/>
              <w:spacing w:before="78" w:line="185" w:lineRule="auto"/>
              <w:jc w:val="center"/>
              <w:rPr>
                <w:rFonts w:hint="eastAsia" w:ascii="仿宋" w:hAnsi="仿宋" w:eastAsia="仿宋" w:cs="仿宋"/>
                <w:sz w:val="24"/>
                <w:szCs w:val="24"/>
                <w:vertAlign w:val="baseline"/>
              </w:rPr>
            </w:pPr>
            <w:r>
              <w:rPr>
                <w:rFonts w:ascii="宋体" w:hAnsi="宋体" w:eastAsia="宋体" w:cs="宋体"/>
                <w:spacing w:val="-4"/>
                <w:sz w:val="24"/>
                <w:szCs w:val="24"/>
              </w:rPr>
              <w:t>2</w:t>
            </w:r>
            <w:r>
              <w:rPr>
                <w:rFonts w:ascii="宋体" w:hAnsi="宋体" w:eastAsia="宋体" w:cs="宋体"/>
                <w:spacing w:val="-3"/>
                <w:sz w:val="24"/>
                <w:szCs w:val="24"/>
              </w:rPr>
              <w:t>0</w:t>
            </w:r>
          </w:p>
        </w:tc>
        <w:tc>
          <w:tcPr>
            <w:tcW w:w="1920" w:type="dxa"/>
            <w:noWrap w:val="0"/>
            <w:vAlign w:val="center"/>
          </w:tcPr>
          <w:p>
            <w:pPr>
              <w:widowControl w:val="0"/>
              <w:spacing w:before="78" w:line="241" w:lineRule="auto"/>
              <w:ind w:right="114" w:rightChars="0"/>
              <w:jc w:val="left"/>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代理机构不按 照法律规定履 行代理职责</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left"/>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1.在所代理的招标项目中投标、代理投标或者向该项目投标人提供咨询，接受委托编制标底的中介机构参加受托编制标底项目的投标或者为该项目的投标人编制投标文件、提供咨询。                                                            2.招标代理机构在代理过程中接受贿赂或者获取其他不正当利益。                                                       3.招标代理机构与招标人、投标人串通损害国家利益、社会公共利益或者他人合法权益。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4.招标代理机构泄露应当保密的信息以及隐匿、销毁应当保存的文件资料或者伪造、变造文件资料。</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《招标投标法》第十五条，第五十条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《招标投标法实施条例》第十三条，第二十七条，第六十二条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《湖北省公共资源招标投标监督管理条例》第二十一条</w:t>
            </w:r>
          </w:p>
          <w:p>
            <w:pPr>
              <w:widowControl w:val="0"/>
              <w:spacing w:line="248" w:lineRule="auto"/>
              <w:ind w:left="118" w:leftChars="0" w:right="93" w:rightChars="0" w:hanging="119" w:firstLineChars="0"/>
              <w:jc w:val="both"/>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069"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6720" w:firstLineChars="3000"/>
              <w:jc w:val="both"/>
              <w:textAlignment w:val="baseline"/>
              <w:rPr>
                <w:rFonts w:hint="eastAsia" w:ascii="仿宋" w:hAnsi="仿宋" w:eastAsia="仿宋" w:cs="仿宋"/>
                <w:sz w:val="32"/>
                <w:szCs w:val="32"/>
                <w:vertAlign w:val="baseline"/>
              </w:rPr>
            </w:pPr>
            <w:r>
              <w:rPr>
                <w:rFonts w:ascii="宋体" w:hAnsi="宋体" w:eastAsia="宋体" w:cs="宋体"/>
                <w:spacing w:val="-3"/>
                <w:sz w:val="23"/>
                <w:szCs w:val="23"/>
              </w:rPr>
              <w:t>二</w:t>
            </w:r>
            <w:r>
              <w:rPr>
                <w:rFonts w:ascii="宋体" w:hAnsi="宋体" w:eastAsia="宋体" w:cs="宋体"/>
                <w:spacing w:val="-2"/>
                <w:sz w:val="23"/>
                <w:szCs w:val="23"/>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widowControl w:val="0"/>
              <w:spacing w:before="127" w:line="221" w:lineRule="auto"/>
              <w:ind w:left="168" w:leftChars="0"/>
              <w:jc w:val="both"/>
              <w:rPr>
                <w:rFonts w:ascii="宋体" w:hAnsi="宋体" w:eastAsia="宋体" w:cs="宋体"/>
                <w:spacing w:val="-4"/>
                <w:sz w:val="24"/>
                <w:szCs w:val="24"/>
              </w:rPr>
            </w:pPr>
            <w:r>
              <w:rPr>
                <w:rFonts w:ascii="宋体" w:hAnsi="宋体" w:eastAsia="宋体" w:cs="宋体"/>
                <w:spacing w:val="-3"/>
                <w:sz w:val="23"/>
                <w:szCs w:val="23"/>
              </w:rPr>
              <w:t>序</w:t>
            </w:r>
            <w:r>
              <w:rPr>
                <w:rFonts w:ascii="宋体" w:hAnsi="宋体" w:eastAsia="宋体" w:cs="宋体"/>
                <w:spacing w:val="-2"/>
                <w:sz w:val="23"/>
                <w:szCs w:val="23"/>
              </w:rPr>
              <w:t>号</w:t>
            </w:r>
          </w:p>
        </w:tc>
        <w:tc>
          <w:tcPr>
            <w:tcW w:w="1920" w:type="dxa"/>
            <w:noWrap w:val="0"/>
            <w:vAlign w:val="center"/>
          </w:tcPr>
          <w:p>
            <w:pPr>
              <w:widowControl w:val="0"/>
              <w:spacing w:before="126" w:line="219" w:lineRule="auto"/>
              <w:ind w:left="344" w:leftChars="0"/>
              <w:jc w:val="both"/>
              <w:rPr>
                <w:rFonts w:ascii="宋体" w:hAnsi="宋体" w:eastAsia="宋体" w:cs="宋体"/>
                <w:spacing w:val="2"/>
                <w:sz w:val="24"/>
                <w:szCs w:val="24"/>
              </w:rPr>
            </w:pPr>
            <w:r>
              <w:rPr>
                <w:rFonts w:ascii="宋体" w:hAnsi="宋体" w:eastAsia="宋体" w:cs="宋体"/>
                <w:spacing w:val="-2"/>
                <w:sz w:val="23"/>
                <w:szCs w:val="23"/>
              </w:rPr>
              <w:t>禁止事项</w:t>
            </w:r>
          </w:p>
        </w:tc>
        <w:tc>
          <w:tcPr>
            <w:tcW w:w="7425" w:type="dxa"/>
            <w:noWrap w:val="0"/>
            <w:vAlign w:val="center"/>
          </w:tcPr>
          <w:p>
            <w:pPr>
              <w:widowControl w:val="0"/>
              <w:spacing w:before="126" w:line="219" w:lineRule="auto"/>
              <w:ind w:left="2865" w:leftChars="0"/>
              <w:jc w:val="both"/>
              <w:rPr>
                <w:rFonts w:ascii="宋体" w:hAnsi="宋体" w:eastAsia="宋体" w:cs="宋体"/>
                <w:spacing w:val="10"/>
                <w:sz w:val="24"/>
                <w:szCs w:val="24"/>
              </w:rPr>
            </w:pPr>
            <w:r>
              <w:rPr>
                <w:rFonts w:ascii="宋体" w:hAnsi="宋体" w:eastAsia="宋体" w:cs="宋体"/>
                <w:spacing w:val="12"/>
                <w:sz w:val="23"/>
                <w:szCs w:val="23"/>
              </w:rPr>
              <w:t>具</w:t>
            </w:r>
            <w:r>
              <w:rPr>
                <w:rFonts w:ascii="宋体" w:hAnsi="宋体" w:eastAsia="宋体" w:cs="宋体"/>
                <w:spacing w:val="11"/>
                <w:sz w:val="23"/>
                <w:szCs w:val="23"/>
              </w:rPr>
              <w:t>体内容</w:t>
            </w:r>
          </w:p>
        </w:tc>
        <w:tc>
          <w:tcPr>
            <w:tcW w:w="3749" w:type="dxa"/>
            <w:noWrap w:val="0"/>
            <w:vAlign w:val="center"/>
          </w:tcPr>
          <w:p>
            <w:pPr>
              <w:widowControl w:val="0"/>
              <w:spacing w:before="124" w:line="219" w:lineRule="auto"/>
              <w:ind w:left="401" w:leftChars="0"/>
              <w:jc w:val="both"/>
              <w:rPr>
                <w:rFonts w:hint="eastAsia" w:ascii="宋体" w:hAnsi="宋体" w:eastAsia="宋体" w:cs="宋体"/>
                <w:spacing w:val="10"/>
                <w:sz w:val="24"/>
                <w:szCs w:val="24"/>
              </w:rPr>
            </w:pPr>
            <w:r>
              <w:rPr>
                <w:rFonts w:ascii="宋体" w:hAnsi="宋体" w:eastAsia="宋体" w:cs="宋体"/>
                <w:spacing w:val="-1"/>
                <w:sz w:val="23"/>
                <w:szCs w:val="23"/>
              </w:rPr>
              <w:t>相关法律、法规和其</w:t>
            </w:r>
            <w:r>
              <w:rPr>
                <w:rFonts w:ascii="宋体" w:hAnsi="宋体" w:eastAsia="宋体" w:cs="宋体"/>
                <w:sz w:val="23"/>
                <w:szCs w:val="23"/>
              </w:rPr>
              <w:t>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4"/>
                <w:szCs w:val="24"/>
                <w:vertAlign w:val="baseline"/>
              </w:rPr>
            </w:pPr>
            <w:r>
              <w:rPr>
                <w:rFonts w:ascii="宋体" w:hAnsi="宋体" w:eastAsia="宋体" w:cs="宋体"/>
                <w:spacing w:val="-4"/>
                <w:sz w:val="24"/>
                <w:szCs w:val="24"/>
              </w:rPr>
              <w:t>2</w:t>
            </w:r>
            <w:r>
              <w:rPr>
                <w:rFonts w:ascii="宋体" w:hAnsi="宋体" w:eastAsia="宋体" w:cs="宋体"/>
                <w:spacing w:val="-3"/>
                <w:sz w:val="24"/>
                <w:szCs w:val="24"/>
              </w:rPr>
              <w:t>1</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不符合要求参与投标</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1.单位负责人为同一人或者存在控股、管理关系的不同单位，参加同一标段投标或者未划分标段的同一招标项目投标。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2.以他人名义、借用资质参加投标。</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《招标投标法实施条例》第三十四条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宋体" w:hAnsi="宋体" w:eastAsia="宋体" w:cs="宋体"/>
                <w:spacing w:val="10"/>
                <w:sz w:val="24"/>
                <w:szCs w:val="24"/>
              </w:rPr>
            </w:pPr>
            <w:r>
              <w:rPr>
                <w:rFonts w:hint="eastAsia" w:ascii="仿宋" w:hAnsi="仿宋" w:eastAsia="仿宋" w:cs="仿宋"/>
                <w:sz w:val="21"/>
                <w:szCs w:val="21"/>
                <w:lang w:val="en-US" w:eastAsia="zh-CN"/>
              </w:rPr>
              <w:t>《湖北省公共资源招标投标监督管理条例》第二十条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4"/>
                <w:szCs w:val="24"/>
                <w:vertAlign w:val="baseline"/>
              </w:rPr>
            </w:pPr>
            <w:r>
              <w:rPr>
                <w:rFonts w:ascii="宋体" w:hAnsi="宋体" w:eastAsia="宋体" w:cs="宋体"/>
                <w:spacing w:val="-4"/>
                <w:sz w:val="24"/>
                <w:szCs w:val="24"/>
              </w:rPr>
              <w:t>2</w:t>
            </w:r>
            <w:r>
              <w:rPr>
                <w:rFonts w:ascii="宋体" w:hAnsi="宋体" w:eastAsia="宋体" w:cs="宋体"/>
                <w:spacing w:val="-3"/>
                <w:sz w:val="24"/>
                <w:szCs w:val="24"/>
              </w:rPr>
              <w:t>2</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right="0" w:rightChars="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在投标中弄虚作假</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1.使用伪造、变造的许可证件。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2.提供虚假的财务状况或业绩。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3.提供虚假的项目负责人或者主要技术人员简历、劳动关系证明、社保证明。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4.提供虚假的信用状况。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5.其他弄虚作假的行为。</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《招标投标法》第三十三条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《招标投标法实施条例》第四十二条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《湖北省公共资源招标投标监督管理条例》第二十条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4"/>
                <w:szCs w:val="24"/>
                <w:vertAlign w:val="baseline"/>
              </w:rPr>
            </w:pPr>
            <w:r>
              <w:rPr>
                <w:rFonts w:ascii="宋体" w:hAnsi="宋体" w:eastAsia="宋体" w:cs="宋体"/>
                <w:spacing w:val="-4"/>
                <w:sz w:val="24"/>
                <w:szCs w:val="24"/>
              </w:rPr>
              <w:t>2</w:t>
            </w:r>
            <w:r>
              <w:rPr>
                <w:rFonts w:ascii="宋体" w:hAnsi="宋体" w:eastAsia="宋体" w:cs="宋体"/>
                <w:spacing w:val="-3"/>
                <w:sz w:val="24"/>
                <w:szCs w:val="24"/>
              </w:rPr>
              <w:t>3</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right="0" w:rightChars="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组织或参与围标、串标</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1.投标人相互串通投标报价，排挤其他投标人的公平竞争，损害招标人或者其他投标人的合法权益。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2.投标人不得与招标人串通投标，损害国家利益、社会公共利益或者他人的合法权益。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3.投标人之间协商投标报价等投标文件的实质性内容。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4.投标人之间约定中标人。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5.投标人之间约定部分投标人放弃投标或者中标。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6.属于同一集团、协会、商会等组织成员的投标人按照该组织要求协同投标。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宋体" w:hAnsi="宋体" w:eastAsia="宋体" w:cs="宋体"/>
                <w:spacing w:val="10"/>
                <w:sz w:val="24"/>
                <w:szCs w:val="24"/>
              </w:rPr>
            </w:pPr>
            <w:r>
              <w:rPr>
                <w:rFonts w:hint="eastAsia" w:ascii="仿宋" w:hAnsi="仿宋" w:eastAsia="仿宋" w:cs="仿宋"/>
                <w:sz w:val="24"/>
                <w:szCs w:val="24"/>
                <w:lang w:val="en-US" w:eastAsia="zh-CN"/>
              </w:rPr>
              <w:t>7.投标人之间为谋取中标或者排斥特定投标人而采取的其他联合行动。</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《招标投标法》第三十二条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《招标投标法实施条例》第三十九条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75" w:type="dxa"/>
            <w:noWrap w:val="0"/>
            <w:vAlign w:val="center"/>
          </w:tcPr>
          <w:p>
            <w:pPr>
              <w:widowControl w:val="0"/>
              <w:spacing w:before="107" w:line="221" w:lineRule="auto"/>
              <w:ind w:left="158" w:leftChars="0"/>
              <w:jc w:val="both"/>
              <w:rPr>
                <w:rFonts w:hint="eastAsia" w:ascii="仿宋" w:hAnsi="仿宋" w:eastAsia="仿宋" w:cs="仿宋"/>
                <w:sz w:val="32"/>
                <w:szCs w:val="32"/>
                <w:vertAlign w:val="baseline"/>
              </w:rPr>
            </w:pPr>
            <w:r>
              <w:rPr>
                <w:rFonts w:ascii="宋体" w:hAnsi="宋体" w:eastAsia="宋体" w:cs="宋体"/>
                <w:spacing w:val="-3"/>
                <w:sz w:val="23"/>
                <w:szCs w:val="23"/>
              </w:rPr>
              <w:t>序</w:t>
            </w:r>
            <w:r>
              <w:rPr>
                <w:rFonts w:ascii="宋体" w:hAnsi="宋体" w:eastAsia="宋体" w:cs="宋体"/>
                <w:spacing w:val="-2"/>
                <w:sz w:val="23"/>
                <w:szCs w:val="23"/>
              </w:rPr>
              <w:t>号</w:t>
            </w:r>
          </w:p>
        </w:tc>
        <w:tc>
          <w:tcPr>
            <w:tcW w:w="1920" w:type="dxa"/>
            <w:noWrap w:val="0"/>
            <w:vAlign w:val="center"/>
          </w:tcPr>
          <w:p>
            <w:pPr>
              <w:widowControl w:val="0"/>
              <w:spacing w:before="106" w:line="219" w:lineRule="auto"/>
              <w:ind w:left="344" w:leftChars="0"/>
              <w:jc w:val="both"/>
              <w:rPr>
                <w:rFonts w:hint="eastAsia" w:ascii="仿宋" w:hAnsi="仿宋" w:eastAsia="仿宋" w:cs="仿宋"/>
                <w:sz w:val="32"/>
                <w:szCs w:val="32"/>
                <w:vertAlign w:val="baseline"/>
              </w:rPr>
            </w:pPr>
            <w:r>
              <w:rPr>
                <w:rFonts w:ascii="宋体" w:hAnsi="宋体" w:eastAsia="宋体" w:cs="宋体"/>
                <w:spacing w:val="-2"/>
                <w:sz w:val="23"/>
                <w:szCs w:val="23"/>
              </w:rPr>
              <w:t>禁止事项</w:t>
            </w:r>
          </w:p>
        </w:tc>
        <w:tc>
          <w:tcPr>
            <w:tcW w:w="7425" w:type="dxa"/>
            <w:noWrap w:val="0"/>
            <w:vAlign w:val="center"/>
          </w:tcPr>
          <w:p>
            <w:pPr>
              <w:widowControl w:val="0"/>
              <w:spacing w:before="106" w:line="219" w:lineRule="auto"/>
              <w:ind w:left="2865" w:leftChars="0"/>
              <w:jc w:val="both"/>
              <w:rPr>
                <w:rFonts w:hint="eastAsia" w:ascii="仿宋" w:hAnsi="仿宋" w:eastAsia="仿宋" w:cs="仿宋"/>
                <w:sz w:val="32"/>
                <w:szCs w:val="32"/>
                <w:vertAlign w:val="baseline"/>
              </w:rPr>
            </w:pPr>
            <w:r>
              <w:rPr>
                <w:rFonts w:ascii="宋体" w:hAnsi="宋体" w:eastAsia="宋体" w:cs="宋体"/>
                <w:spacing w:val="12"/>
                <w:sz w:val="23"/>
                <w:szCs w:val="23"/>
              </w:rPr>
              <w:t>具</w:t>
            </w:r>
            <w:r>
              <w:rPr>
                <w:rFonts w:ascii="宋体" w:hAnsi="宋体" w:eastAsia="宋体" w:cs="宋体"/>
                <w:spacing w:val="11"/>
                <w:sz w:val="23"/>
                <w:szCs w:val="23"/>
              </w:rPr>
              <w:t>体内容</w:t>
            </w:r>
          </w:p>
        </w:tc>
        <w:tc>
          <w:tcPr>
            <w:tcW w:w="3749" w:type="dxa"/>
            <w:noWrap w:val="0"/>
            <w:vAlign w:val="center"/>
          </w:tcPr>
          <w:p>
            <w:pPr>
              <w:widowControl w:val="0"/>
              <w:spacing w:before="104" w:line="219" w:lineRule="auto"/>
              <w:ind w:left="401" w:leftChars="0"/>
              <w:jc w:val="both"/>
              <w:rPr>
                <w:rFonts w:hint="eastAsia" w:ascii="仿宋" w:hAnsi="仿宋" w:eastAsia="仿宋" w:cs="仿宋"/>
                <w:sz w:val="32"/>
                <w:szCs w:val="32"/>
                <w:vertAlign w:val="baseline"/>
              </w:rPr>
            </w:pPr>
            <w:r>
              <w:rPr>
                <w:rFonts w:ascii="宋体" w:hAnsi="宋体" w:eastAsia="宋体" w:cs="宋体"/>
                <w:spacing w:val="-1"/>
                <w:sz w:val="23"/>
                <w:szCs w:val="23"/>
              </w:rPr>
              <w:t>相关法律、法规和其</w:t>
            </w:r>
            <w:r>
              <w:rPr>
                <w:rFonts w:ascii="宋体" w:hAnsi="宋体" w:eastAsia="宋体" w:cs="宋体"/>
                <w:sz w:val="23"/>
                <w:szCs w:val="23"/>
              </w:rPr>
              <w:t>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center"/>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w:t>
            </w:r>
          </w:p>
        </w:tc>
        <w:tc>
          <w:tcPr>
            <w:tcW w:w="1920"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视为投标人相互串通投标</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1.不同投标人的投标文件由同一单位或者个人编制。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2.不同投标人委托同一单位或者个人办理投标事宜。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3.不同投标人的投标文件载明的项目管理成员为同一人。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4.不同投标人的投标文件异常一致或者投标报价呈规律性差异。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5.不同投标人的投标文件相互混装。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6.不同投标人的投标保证金从同一单位或者个人的账户转出。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宋体" w:hAnsi="宋体" w:eastAsia="宋体" w:cs="宋体"/>
                <w:spacing w:val="1"/>
                <w:sz w:val="24"/>
                <w:szCs w:val="24"/>
              </w:rPr>
            </w:pP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《招标投标法实施条例》第四十条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4"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4"/>
                <w:szCs w:val="24"/>
                <w:vertAlign w:val="baseline"/>
              </w:rPr>
            </w:pPr>
            <w:r>
              <w:rPr>
                <w:rFonts w:ascii="宋体" w:hAnsi="宋体" w:eastAsia="宋体" w:cs="宋体"/>
                <w:spacing w:val="-4"/>
                <w:sz w:val="24"/>
                <w:szCs w:val="24"/>
              </w:rPr>
              <w:t>2</w:t>
            </w:r>
            <w:r>
              <w:rPr>
                <w:rFonts w:ascii="宋体" w:hAnsi="宋体" w:eastAsia="宋体" w:cs="宋体"/>
                <w:spacing w:val="-3"/>
                <w:sz w:val="24"/>
                <w:szCs w:val="24"/>
              </w:rPr>
              <w:t>5</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中标后违约</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1.中标后无正当理由不与招标人订立合同。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2.中标后在签订合同时向招标人提出附加条件。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3.与招标人签订合同的标的、价款、质量、履行期限等主要条款与招标文件和投标文件的内容不一致。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4.与招标人再行订立背离合同实质性内容的协议。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5.中标后将中标项目转让给他人或将中标项目肢解后分别转让给他人。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6.中标后将中标项目的部分主体、关键性工作分包给他人。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7.中标后将中标项目的部分工作分包给不具备相应资格条件的分包人。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8.中标后不及时、足额按招标文件要求提交履约保证金。</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left"/>
              <w:textAlignment w:val="baseline"/>
              <w:rPr>
                <w:rFonts w:hint="eastAsia" w:ascii="宋体" w:hAnsi="宋体" w:eastAsia="宋体" w:cs="宋体"/>
                <w:sz w:val="24"/>
                <w:szCs w:val="24"/>
              </w:rPr>
            </w:pP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《招标投标法》第四十六条，第四十八条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《招标投标法实施条例》第五十七条，第五十八条，第五十九条，第七十四条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75" w:type="dxa"/>
            <w:noWrap w:val="0"/>
            <w:vAlign w:val="center"/>
          </w:tcPr>
          <w:p>
            <w:pPr>
              <w:widowControl w:val="0"/>
              <w:spacing w:before="107" w:line="221" w:lineRule="auto"/>
              <w:ind w:left="158" w:leftChars="0"/>
              <w:jc w:val="both"/>
              <w:rPr>
                <w:rFonts w:hint="eastAsia" w:ascii="仿宋" w:hAnsi="仿宋" w:eastAsia="仿宋" w:cs="仿宋"/>
                <w:sz w:val="32"/>
                <w:szCs w:val="32"/>
                <w:vertAlign w:val="baseline"/>
              </w:rPr>
            </w:pPr>
            <w:r>
              <w:rPr>
                <w:rFonts w:ascii="宋体" w:hAnsi="宋体" w:eastAsia="宋体" w:cs="宋体"/>
                <w:spacing w:val="-3"/>
                <w:sz w:val="23"/>
                <w:szCs w:val="23"/>
              </w:rPr>
              <w:t>序</w:t>
            </w:r>
            <w:r>
              <w:rPr>
                <w:rFonts w:ascii="宋体" w:hAnsi="宋体" w:eastAsia="宋体" w:cs="宋体"/>
                <w:spacing w:val="-2"/>
                <w:sz w:val="23"/>
                <w:szCs w:val="23"/>
              </w:rPr>
              <w:t>号</w:t>
            </w:r>
          </w:p>
        </w:tc>
        <w:tc>
          <w:tcPr>
            <w:tcW w:w="1920" w:type="dxa"/>
            <w:noWrap w:val="0"/>
            <w:vAlign w:val="center"/>
          </w:tcPr>
          <w:p>
            <w:pPr>
              <w:widowControl w:val="0"/>
              <w:spacing w:before="106" w:line="219" w:lineRule="auto"/>
              <w:ind w:left="344" w:leftChars="0"/>
              <w:jc w:val="both"/>
              <w:rPr>
                <w:rFonts w:hint="eastAsia" w:ascii="仿宋" w:hAnsi="仿宋" w:eastAsia="仿宋" w:cs="仿宋"/>
                <w:sz w:val="32"/>
                <w:szCs w:val="32"/>
                <w:vertAlign w:val="baseline"/>
              </w:rPr>
            </w:pPr>
            <w:r>
              <w:rPr>
                <w:rFonts w:ascii="宋体" w:hAnsi="宋体" w:eastAsia="宋体" w:cs="宋体"/>
                <w:spacing w:val="-2"/>
                <w:sz w:val="23"/>
                <w:szCs w:val="23"/>
              </w:rPr>
              <w:t>禁止事项</w:t>
            </w:r>
          </w:p>
        </w:tc>
        <w:tc>
          <w:tcPr>
            <w:tcW w:w="7425" w:type="dxa"/>
            <w:noWrap w:val="0"/>
            <w:vAlign w:val="center"/>
          </w:tcPr>
          <w:p>
            <w:pPr>
              <w:widowControl w:val="0"/>
              <w:spacing w:before="106" w:line="219" w:lineRule="auto"/>
              <w:ind w:left="2865" w:leftChars="0"/>
              <w:jc w:val="both"/>
              <w:rPr>
                <w:rFonts w:hint="eastAsia" w:ascii="仿宋" w:hAnsi="仿宋" w:eastAsia="仿宋" w:cs="仿宋"/>
                <w:sz w:val="32"/>
                <w:szCs w:val="32"/>
                <w:vertAlign w:val="baseline"/>
              </w:rPr>
            </w:pPr>
            <w:r>
              <w:rPr>
                <w:rFonts w:ascii="宋体" w:hAnsi="宋体" w:eastAsia="宋体" w:cs="宋体"/>
                <w:spacing w:val="12"/>
                <w:sz w:val="23"/>
                <w:szCs w:val="23"/>
              </w:rPr>
              <w:t>具</w:t>
            </w:r>
            <w:r>
              <w:rPr>
                <w:rFonts w:ascii="宋体" w:hAnsi="宋体" w:eastAsia="宋体" w:cs="宋体"/>
                <w:spacing w:val="11"/>
                <w:sz w:val="23"/>
                <w:szCs w:val="23"/>
              </w:rPr>
              <w:t>体内容</w:t>
            </w:r>
          </w:p>
        </w:tc>
        <w:tc>
          <w:tcPr>
            <w:tcW w:w="3749" w:type="dxa"/>
            <w:noWrap w:val="0"/>
            <w:vAlign w:val="center"/>
          </w:tcPr>
          <w:p>
            <w:pPr>
              <w:widowControl w:val="0"/>
              <w:spacing w:before="104" w:line="219" w:lineRule="auto"/>
              <w:ind w:left="401" w:leftChars="0"/>
              <w:jc w:val="both"/>
              <w:rPr>
                <w:rFonts w:hint="eastAsia" w:ascii="仿宋" w:hAnsi="仿宋" w:eastAsia="仿宋" w:cs="仿宋"/>
                <w:sz w:val="32"/>
                <w:szCs w:val="32"/>
                <w:vertAlign w:val="baseline"/>
              </w:rPr>
            </w:pPr>
            <w:r>
              <w:rPr>
                <w:rFonts w:ascii="宋体" w:hAnsi="宋体" w:eastAsia="宋体" w:cs="宋体"/>
                <w:spacing w:val="-1"/>
                <w:sz w:val="23"/>
                <w:szCs w:val="23"/>
              </w:rPr>
              <w:t>相关法律、法规和其</w:t>
            </w:r>
            <w:r>
              <w:rPr>
                <w:rFonts w:ascii="宋体" w:hAnsi="宋体" w:eastAsia="宋体" w:cs="宋体"/>
                <w:sz w:val="23"/>
                <w:szCs w:val="23"/>
              </w:rPr>
              <w:t>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4"/>
                <w:szCs w:val="24"/>
                <w:vertAlign w:val="baseline"/>
              </w:rPr>
            </w:pPr>
            <w:r>
              <w:rPr>
                <w:rFonts w:ascii="宋体" w:hAnsi="宋体" w:eastAsia="宋体" w:cs="宋体"/>
                <w:spacing w:val="-4"/>
                <w:sz w:val="24"/>
                <w:szCs w:val="24"/>
              </w:rPr>
              <w:t>2</w:t>
            </w:r>
            <w:r>
              <w:rPr>
                <w:rFonts w:ascii="宋体" w:hAnsi="宋体" w:eastAsia="宋体" w:cs="宋体"/>
                <w:spacing w:val="-3"/>
                <w:sz w:val="24"/>
                <w:szCs w:val="24"/>
              </w:rPr>
              <w:t>6</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不合理投诉、 恶意投诉</w:t>
            </w:r>
          </w:p>
        </w:tc>
        <w:tc>
          <w:tcPr>
            <w:tcW w:w="74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left"/>
              <w:textAlignment w:val="baseline"/>
              <w:rPr>
                <w:rFonts w:ascii="宋体" w:hAnsi="宋体" w:eastAsia="宋体" w:cs="宋体"/>
                <w:spacing w:val="18"/>
                <w:sz w:val="24"/>
                <w:szCs w:val="24"/>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1.未对资格预审文件、招标文件提出异议，评标（评审）结果出来后又对资格预审文件内容、招标文件内容进行投诉。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2.未提出异议或异议答复日期未满、超出投诉有效期向有关行政监督部门提出投诉。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3.捏造事实、伪造材料或以非法手段取得证明材料进行投诉。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4.已查明的事实不接受，反复投诉、多处投诉，阻碍招标投标活动正常进行。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5.不按规定的格式、程序和要求进行投诉的。</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宋体" w:hAnsi="宋体" w:eastAsia="宋体" w:cs="宋体"/>
                <w:sz w:val="24"/>
                <w:szCs w:val="24"/>
              </w:rPr>
            </w:pP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《招标投标法实施条例》第二十二条，第四十四条，第五十四条，第六十条，第六十一条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《工程建设项目招标投标活动投诉处理办法》第七条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《湖北省公共资源招标投标投诉处理办法》第六条、第十四条</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hanging="119" w:firstLineChars="0"/>
              <w:jc w:val="both"/>
              <w:textAlignment w:val="baseline"/>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7"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4"/>
                <w:szCs w:val="24"/>
                <w:vertAlign w:val="baseline"/>
              </w:rPr>
            </w:pPr>
            <w:r>
              <w:rPr>
                <w:rFonts w:ascii="宋体" w:hAnsi="宋体" w:eastAsia="宋体" w:cs="宋体"/>
                <w:spacing w:val="-4"/>
                <w:sz w:val="24"/>
                <w:szCs w:val="24"/>
              </w:rPr>
              <w:t>27</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违反诚实信用原则</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1.发生合并、分立、破产等重大变化后不及时书面告知招标人。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2.资格预审合格后，投标人的项目管理机构组成出现调整不及时书面告知招标人。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3.不按评标委员会的要求对投标文件进行澄清、说明。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4.依法必须招标项目的境内投标单位，其投标保证金不是从其基本账户转出。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5.在开标前与招标人就投标价格、投标方案等进行协商谈判。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6.以低于成本的报价竞标。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7.向招标人或者评标委员会成员行贿的手段谋取中标。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《招标投标法》第三十二条，第三十三条，第四十三条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《招标投标法实施条例》第二十六条，第三十八条，第五十二条</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hanging="119" w:firstLineChars="0"/>
              <w:jc w:val="both"/>
              <w:textAlignment w:val="baseline"/>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widowControl w:val="0"/>
              <w:spacing w:before="117" w:line="221" w:lineRule="auto"/>
              <w:ind w:left="158" w:leftChars="0"/>
              <w:jc w:val="both"/>
              <w:rPr>
                <w:rFonts w:hint="eastAsia" w:ascii="仿宋" w:hAnsi="仿宋" w:eastAsia="仿宋" w:cs="仿宋"/>
                <w:sz w:val="32"/>
                <w:szCs w:val="32"/>
                <w:vertAlign w:val="baseline"/>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1920" w:type="dxa"/>
            <w:noWrap w:val="0"/>
            <w:vAlign w:val="center"/>
          </w:tcPr>
          <w:p>
            <w:pPr>
              <w:widowControl w:val="0"/>
              <w:spacing w:before="116" w:line="219" w:lineRule="auto"/>
              <w:ind w:left="354" w:leftChars="0"/>
              <w:jc w:val="both"/>
              <w:rPr>
                <w:rFonts w:hint="eastAsia" w:ascii="仿宋" w:hAnsi="仿宋" w:eastAsia="仿宋" w:cs="仿宋"/>
                <w:sz w:val="32"/>
                <w:szCs w:val="32"/>
                <w:vertAlign w:val="baseline"/>
              </w:rPr>
            </w:pPr>
            <w:r>
              <w:rPr>
                <w:rFonts w:ascii="宋体" w:hAnsi="宋体" w:eastAsia="宋体" w:cs="宋体"/>
                <w:spacing w:val="-2"/>
                <w:sz w:val="24"/>
                <w:szCs w:val="24"/>
              </w:rPr>
              <w:t>禁止事项</w:t>
            </w:r>
          </w:p>
        </w:tc>
        <w:tc>
          <w:tcPr>
            <w:tcW w:w="7425" w:type="dxa"/>
            <w:noWrap w:val="0"/>
            <w:vAlign w:val="center"/>
          </w:tcPr>
          <w:p>
            <w:pPr>
              <w:widowControl w:val="0"/>
              <w:spacing w:before="116" w:line="219" w:lineRule="auto"/>
              <w:ind w:left="2845" w:leftChars="0"/>
              <w:jc w:val="both"/>
              <w:rPr>
                <w:rFonts w:hint="eastAsia" w:ascii="仿宋" w:hAnsi="仿宋" w:eastAsia="仿宋" w:cs="仿宋"/>
                <w:sz w:val="32"/>
                <w:szCs w:val="32"/>
                <w:vertAlign w:val="baseline"/>
              </w:rPr>
            </w:pPr>
            <w:r>
              <w:rPr>
                <w:rFonts w:ascii="宋体" w:hAnsi="宋体" w:eastAsia="宋体" w:cs="宋体"/>
                <w:spacing w:val="12"/>
                <w:sz w:val="24"/>
                <w:szCs w:val="24"/>
              </w:rPr>
              <w:t>具</w:t>
            </w:r>
            <w:r>
              <w:rPr>
                <w:rFonts w:ascii="宋体" w:hAnsi="宋体" w:eastAsia="宋体" w:cs="宋体"/>
                <w:spacing w:val="11"/>
                <w:sz w:val="24"/>
                <w:szCs w:val="24"/>
              </w:rPr>
              <w:t>体内容</w:t>
            </w:r>
          </w:p>
        </w:tc>
        <w:tc>
          <w:tcPr>
            <w:tcW w:w="3749" w:type="dxa"/>
            <w:noWrap w:val="0"/>
            <w:vAlign w:val="center"/>
          </w:tcPr>
          <w:p>
            <w:pPr>
              <w:widowControl w:val="0"/>
              <w:spacing w:before="114" w:line="219" w:lineRule="auto"/>
              <w:ind w:left="420" w:leftChars="0"/>
              <w:jc w:val="both"/>
              <w:rPr>
                <w:rFonts w:hint="eastAsia" w:ascii="仿宋" w:hAnsi="仿宋" w:eastAsia="仿宋" w:cs="仿宋"/>
                <w:sz w:val="32"/>
                <w:szCs w:val="32"/>
                <w:vertAlign w:val="baseline"/>
              </w:rPr>
            </w:pPr>
            <w:r>
              <w:rPr>
                <w:rFonts w:ascii="宋体" w:hAnsi="宋体" w:eastAsia="宋体" w:cs="宋体"/>
                <w:spacing w:val="-1"/>
                <w:sz w:val="24"/>
                <w:szCs w:val="24"/>
              </w:rPr>
              <w:t>相关法律、法规和其</w:t>
            </w:r>
            <w:r>
              <w:rPr>
                <w:rFonts w:ascii="宋体" w:hAnsi="宋体" w:eastAsia="宋体" w:cs="宋体"/>
                <w:sz w:val="24"/>
                <w:szCs w:val="24"/>
              </w:rPr>
              <w:t>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4"/>
                <w:szCs w:val="24"/>
                <w:vertAlign w:val="baseline"/>
              </w:rPr>
            </w:pPr>
            <w:r>
              <w:rPr>
                <w:rFonts w:ascii="宋体" w:hAnsi="宋体" w:eastAsia="宋体" w:cs="宋体"/>
                <w:spacing w:val="-4"/>
                <w:sz w:val="24"/>
                <w:szCs w:val="24"/>
              </w:rPr>
              <w:t>2</w:t>
            </w:r>
            <w:r>
              <w:rPr>
                <w:rFonts w:ascii="宋体" w:hAnsi="宋体" w:eastAsia="宋体" w:cs="宋体"/>
                <w:spacing w:val="-3"/>
                <w:sz w:val="24"/>
                <w:szCs w:val="24"/>
              </w:rPr>
              <w:t>8</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不配合行政监督部门依法实施的监督检查</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1.不配合投诉调查处理或者案件查办。</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2.在有关部门处理投诉、查办案件调查有关情况时，提供虚假情况或者作伪证。</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《招标投标法实施条例》第六十二条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《工程建设项目招标投标活动投诉处理办法》第二十六条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9"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5658" w:firstLineChars="2300"/>
              <w:jc w:val="both"/>
              <w:textAlignment w:val="baseline"/>
              <w:rPr>
                <w:rFonts w:hint="eastAsia" w:ascii="仿宋" w:hAnsi="仿宋" w:eastAsia="仿宋" w:cs="仿宋"/>
                <w:sz w:val="32"/>
                <w:szCs w:val="32"/>
                <w:vertAlign w:val="baseline"/>
              </w:rPr>
            </w:pPr>
            <w:r>
              <w:rPr>
                <w:rFonts w:ascii="宋体" w:hAnsi="宋体" w:eastAsia="宋体" w:cs="宋体"/>
                <w:spacing w:val="3"/>
                <w:sz w:val="24"/>
                <w:szCs w:val="24"/>
              </w:rPr>
              <w:t>三、评标委员会成</w:t>
            </w:r>
            <w:r>
              <w:rPr>
                <w:rFonts w:ascii="宋体" w:hAnsi="宋体" w:eastAsia="宋体" w:cs="宋体"/>
                <w:spacing w:val="2"/>
                <w:sz w:val="24"/>
                <w:szCs w:val="24"/>
              </w:rPr>
              <w:t>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right="0"/>
              <w:jc w:val="center"/>
              <w:textAlignment w:val="baseline"/>
              <w:rPr>
                <w:rFonts w:hint="eastAsia" w:ascii="仿宋" w:hAnsi="仿宋" w:eastAsia="仿宋" w:cs="仿宋"/>
                <w:sz w:val="24"/>
                <w:szCs w:val="24"/>
                <w:vertAlign w:val="baseline"/>
              </w:rPr>
            </w:pPr>
            <w:r>
              <w:rPr>
                <w:rFonts w:ascii="宋体" w:hAnsi="宋体" w:eastAsia="宋体" w:cs="宋体"/>
                <w:spacing w:val="-4"/>
                <w:sz w:val="24"/>
                <w:szCs w:val="24"/>
              </w:rPr>
              <w:t>2</w:t>
            </w:r>
            <w:r>
              <w:rPr>
                <w:rFonts w:ascii="宋体" w:hAnsi="宋体" w:eastAsia="宋体" w:cs="宋体"/>
                <w:spacing w:val="-3"/>
                <w:sz w:val="24"/>
                <w:szCs w:val="24"/>
              </w:rPr>
              <w:t>9</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29" w:firstLineChars="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应主动回避未回避</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1.与投标人(资格预审申请人)存在利害关系应当回避而不回避。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2.投标人或者投标人主要负责人的近亲属担任评标委员会成员。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3.项目主管部门或者行政监督部门的人员担任评标委员会成员。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4.曾因在招标、评标以及其他与招标投标有关活动中从事违法行为而受过行政处罚或刑事处罚的人员担任评标委员会成员。</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《招标投标法》第三十七条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《招标投标法实施条例》第四十六条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《评标委员会和评标方法暂行规定》第十二条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2"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4"/>
                <w:szCs w:val="24"/>
                <w:vertAlign w:val="baseline"/>
              </w:rPr>
            </w:pPr>
            <w:r>
              <w:rPr>
                <w:rFonts w:ascii="宋体" w:hAnsi="宋体" w:eastAsia="宋体" w:cs="宋体"/>
                <w:spacing w:val="-5"/>
                <w:sz w:val="24"/>
                <w:szCs w:val="24"/>
              </w:rPr>
              <w:t>3</w:t>
            </w:r>
            <w:r>
              <w:rPr>
                <w:rFonts w:ascii="宋体" w:hAnsi="宋体" w:eastAsia="宋体" w:cs="宋体"/>
                <w:spacing w:val="-3"/>
                <w:sz w:val="24"/>
                <w:szCs w:val="24"/>
              </w:rPr>
              <w:t>0</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29" w:firstLineChars="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干扰或影响评标工作正常进行</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1.在评标(评审)过程中擅离职守影响评标(评审)程序正常进行。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2.拒绝在评审委员会的评审结论上签字，且不以书面形式说明不同意见和理由。</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3.索要超额专家劳务费或要求不当消费。</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《招标投标法实施条例》第五十三条，第七十一条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《湖北省评标(评审)专家及专家库管理办法》第十八条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75" w:type="dxa"/>
            <w:noWrap w:val="0"/>
            <w:vAlign w:val="center"/>
          </w:tcPr>
          <w:p>
            <w:pPr>
              <w:widowControl w:val="0"/>
              <w:spacing w:before="117" w:line="221" w:lineRule="auto"/>
              <w:ind w:left="158" w:leftChars="0"/>
              <w:jc w:val="both"/>
              <w:rPr>
                <w:rFonts w:hint="eastAsia" w:ascii="仿宋" w:hAnsi="仿宋" w:eastAsia="仿宋" w:cs="仿宋"/>
                <w:sz w:val="24"/>
                <w:szCs w:val="24"/>
                <w:vertAlign w:val="baseline"/>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1920" w:type="dxa"/>
            <w:noWrap w:val="0"/>
            <w:vAlign w:val="center"/>
          </w:tcPr>
          <w:p>
            <w:pPr>
              <w:widowControl w:val="0"/>
              <w:spacing w:before="116" w:line="219" w:lineRule="auto"/>
              <w:ind w:left="354" w:leftChars="0"/>
              <w:jc w:val="both"/>
              <w:rPr>
                <w:rFonts w:hint="eastAsia" w:ascii="仿宋" w:hAnsi="仿宋" w:eastAsia="仿宋" w:cs="仿宋"/>
                <w:sz w:val="24"/>
                <w:szCs w:val="24"/>
                <w:vertAlign w:val="baseline"/>
              </w:rPr>
            </w:pPr>
            <w:r>
              <w:rPr>
                <w:rFonts w:ascii="宋体" w:hAnsi="宋体" w:eastAsia="宋体" w:cs="宋体"/>
                <w:spacing w:val="-2"/>
                <w:sz w:val="24"/>
                <w:szCs w:val="24"/>
              </w:rPr>
              <w:t>禁止事项</w:t>
            </w:r>
          </w:p>
        </w:tc>
        <w:tc>
          <w:tcPr>
            <w:tcW w:w="7425" w:type="dxa"/>
            <w:noWrap w:val="0"/>
            <w:vAlign w:val="center"/>
          </w:tcPr>
          <w:p>
            <w:pPr>
              <w:widowControl w:val="0"/>
              <w:spacing w:before="116" w:line="219" w:lineRule="auto"/>
              <w:ind w:left="2845" w:leftChars="0"/>
              <w:jc w:val="both"/>
              <w:rPr>
                <w:rFonts w:hint="eastAsia" w:ascii="仿宋" w:hAnsi="仿宋" w:eastAsia="仿宋" w:cs="仿宋"/>
                <w:sz w:val="24"/>
                <w:szCs w:val="24"/>
                <w:vertAlign w:val="baseline"/>
              </w:rPr>
            </w:pPr>
            <w:r>
              <w:rPr>
                <w:rFonts w:ascii="宋体" w:hAnsi="宋体" w:eastAsia="宋体" w:cs="宋体"/>
                <w:spacing w:val="12"/>
                <w:sz w:val="24"/>
                <w:szCs w:val="24"/>
              </w:rPr>
              <w:t>具</w:t>
            </w:r>
            <w:r>
              <w:rPr>
                <w:rFonts w:ascii="宋体" w:hAnsi="宋体" w:eastAsia="宋体" w:cs="宋体"/>
                <w:spacing w:val="11"/>
                <w:sz w:val="24"/>
                <w:szCs w:val="24"/>
              </w:rPr>
              <w:t>体内容</w:t>
            </w:r>
          </w:p>
        </w:tc>
        <w:tc>
          <w:tcPr>
            <w:tcW w:w="3749" w:type="dxa"/>
            <w:noWrap w:val="0"/>
            <w:vAlign w:val="center"/>
          </w:tcPr>
          <w:p>
            <w:pPr>
              <w:widowControl w:val="0"/>
              <w:spacing w:before="114" w:line="219" w:lineRule="auto"/>
              <w:ind w:left="420" w:leftChars="0"/>
              <w:jc w:val="both"/>
              <w:rPr>
                <w:rFonts w:hint="eastAsia" w:ascii="仿宋" w:hAnsi="仿宋" w:eastAsia="仿宋" w:cs="仿宋"/>
                <w:sz w:val="24"/>
                <w:szCs w:val="24"/>
                <w:vertAlign w:val="baseline"/>
              </w:rPr>
            </w:pPr>
            <w:r>
              <w:rPr>
                <w:rFonts w:ascii="宋体" w:hAnsi="宋体" w:eastAsia="宋体" w:cs="宋体"/>
                <w:spacing w:val="-1"/>
                <w:sz w:val="24"/>
                <w:szCs w:val="24"/>
              </w:rPr>
              <w:t>相关法律、法规和其</w:t>
            </w:r>
            <w:r>
              <w:rPr>
                <w:rFonts w:ascii="宋体" w:hAnsi="宋体" w:eastAsia="宋体" w:cs="宋体"/>
                <w:sz w:val="24"/>
                <w:szCs w:val="24"/>
              </w:rPr>
              <w:t>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6"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4"/>
                <w:szCs w:val="24"/>
                <w:vertAlign w:val="baseline"/>
              </w:rPr>
            </w:pPr>
            <w:r>
              <w:rPr>
                <w:rFonts w:ascii="宋体" w:hAnsi="宋体" w:eastAsia="宋体" w:cs="宋体"/>
                <w:spacing w:val="-5"/>
                <w:sz w:val="24"/>
                <w:szCs w:val="24"/>
              </w:rPr>
              <w:t>3</w:t>
            </w:r>
            <w:r>
              <w:rPr>
                <w:rFonts w:ascii="宋体" w:hAnsi="宋体" w:eastAsia="宋体" w:cs="宋体"/>
                <w:spacing w:val="-3"/>
                <w:sz w:val="24"/>
                <w:szCs w:val="24"/>
              </w:rPr>
              <w:t>1</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right="0"/>
              <w:jc w:val="left"/>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不按规定审查、评审，不客观、不公正履职</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left"/>
              <w:textAlignment w:val="baseline"/>
              <w:rPr>
                <w:rFonts w:hint="eastAsia" w:ascii="宋体" w:hAnsi="宋体" w:eastAsia="宋体" w:cs="宋体"/>
                <w:spacing w:val="8"/>
                <w:sz w:val="24"/>
                <w:szCs w:val="2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1.不按照招标文件规定的评标标准和方法评标。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2.私下接触投标人。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3.向招标人征询确定中标人的意向或者接受任何单位或者个人明示或者暗示提出的倾向或者排斥特定投标人的要求。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4.透露对投标文件的评审和比较、中标候选人的推荐情况以及与评标有关的其他情况。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5.对依法应当否决的投标不提出否决意见。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6.暗示或者诱导投标人作出澄清、说明或者接受投标人主动提出的澄清、说明。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7.收受投标人、中介人、其他利害关系人的财物或者其他好处。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8.有玩忽职守等渎职行为。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宋体" w:hAnsi="宋体" w:eastAsia="宋体" w:cs="宋体"/>
                <w:spacing w:val="8"/>
                <w:sz w:val="24"/>
                <w:szCs w:val="24"/>
              </w:rPr>
            </w:pPr>
            <w:r>
              <w:rPr>
                <w:rFonts w:hint="eastAsia" w:ascii="仿宋" w:hAnsi="仿宋" w:eastAsia="仿宋" w:cs="仿宋"/>
                <w:sz w:val="24"/>
                <w:szCs w:val="24"/>
                <w:lang w:val="en-US" w:eastAsia="zh-CN"/>
              </w:rPr>
              <w:t>9.其他不客观、不公正履行职务的行为。</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《招标投标法》第四十条，第四十四条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《招标投标法实施条例》第四十九条，第五十二条，第七十一条，第七十二条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《评标委员会和评标方法暂行规定》第十三条，第十四条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宋体" w:hAnsi="宋体" w:eastAsia="宋体" w:cs="宋体"/>
                <w:sz w:val="24"/>
                <w:szCs w:val="24"/>
              </w:rPr>
            </w:pPr>
            <w:r>
              <w:rPr>
                <w:rFonts w:hint="eastAsia" w:ascii="仿宋" w:hAnsi="仿宋" w:eastAsia="仿宋" w:cs="仿宋"/>
                <w:sz w:val="24"/>
                <w:szCs w:val="24"/>
                <w:lang w:val="en-US" w:eastAsia="zh-CN"/>
              </w:rPr>
              <w:t>《湖北省评标(评审)专家及专家库管理办法》第十八条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宋体" w:hAnsi="宋体" w:eastAsia="宋体" w:cs="宋体"/>
                <w:spacing w:val="10"/>
                <w:sz w:val="24"/>
                <w:szCs w:val="24"/>
              </w:rPr>
            </w:pPr>
            <w:r>
              <w:rPr>
                <w:rFonts w:ascii="宋体" w:hAnsi="宋体" w:eastAsia="宋体" w:cs="宋体"/>
                <w:spacing w:val="10"/>
                <w:sz w:val="24"/>
                <w:szCs w:val="24"/>
              </w:rPr>
              <w:t>32</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left"/>
              <w:textAlignment w:val="baseline"/>
              <w:rPr>
                <w:rFonts w:hint="eastAsia" w:ascii="宋体" w:hAnsi="宋体" w:eastAsia="宋体" w:cs="宋体"/>
                <w:spacing w:val="10"/>
                <w:sz w:val="24"/>
                <w:szCs w:val="24"/>
              </w:rPr>
            </w:pPr>
            <w:r>
              <w:rPr>
                <w:rFonts w:hint="eastAsia" w:ascii="仿宋" w:hAnsi="仿宋" w:eastAsia="仿宋" w:cs="仿宋"/>
                <w:sz w:val="24"/>
                <w:szCs w:val="24"/>
                <w:lang w:val="en-US" w:eastAsia="zh-CN"/>
              </w:rPr>
              <w:t>不配合行政监督部门依法实施的监督检查</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left"/>
              <w:textAlignment w:val="baseline"/>
              <w:rPr>
                <w:rFonts w:hint="eastAsia" w:ascii="宋体" w:hAnsi="宋体" w:eastAsia="宋体" w:cs="宋体"/>
                <w:spacing w:val="10"/>
                <w:sz w:val="24"/>
                <w:szCs w:val="2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1.不配合行政监督部门依法实施的监督、检查。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2.不配合投诉调查处理或者案件查办。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3.在有关部门处理投诉、查办案件调查有关情况时，提供虚假情况或者作伪证。</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left"/>
              <w:textAlignment w:val="baseline"/>
              <w:rPr>
                <w:rFonts w:hint="eastAsia" w:ascii="宋体" w:hAnsi="宋体" w:eastAsia="宋体" w:cs="宋体"/>
                <w:spacing w:val="10"/>
                <w:sz w:val="24"/>
                <w:szCs w:val="24"/>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left"/>
              <w:textAlignment w:val="baseline"/>
              <w:rPr>
                <w:rFonts w:hint="eastAsia" w:ascii="宋体" w:hAnsi="宋体" w:eastAsia="宋体" w:cs="宋体"/>
                <w:spacing w:val="10"/>
                <w:sz w:val="24"/>
                <w:szCs w:val="24"/>
              </w:rPr>
            </w:pP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《招标投标法实施条例》第六十二条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《评标专家和评标专家库管理暂行办法》第十四条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宋体" w:hAnsi="宋体" w:eastAsia="宋体" w:cs="宋体"/>
                <w:sz w:val="24"/>
                <w:szCs w:val="24"/>
              </w:rPr>
            </w:pPr>
            <w:r>
              <w:rPr>
                <w:rFonts w:hint="eastAsia" w:ascii="仿宋" w:hAnsi="仿宋" w:eastAsia="仿宋" w:cs="仿宋"/>
                <w:sz w:val="24"/>
                <w:szCs w:val="24"/>
                <w:lang w:val="en-US" w:eastAsia="zh-CN"/>
              </w:rPr>
              <w:t>《湖北省评标(评审)专家及专家库管理办法》第十八条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widowControl w:val="0"/>
              <w:spacing w:before="117" w:line="221" w:lineRule="auto"/>
              <w:ind w:left="108" w:leftChars="0"/>
              <w:jc w:val="both"/>
              <w:rPr>
                <w:rFonts w:hint="eastAsia" w:ascii="仿宋" w:hAnsi="仿宋" w:eastAsia="仿宋" w:cs="仿宋"/>
                <w:sz w:val="32"/>
                <w:szCs w:val="32"/>
                <w:vertAlign w:val="baseline"/>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1920" w:type="dxa"/>
            <w:noWrap w:val="0"/>
            <w:vAlign w:val="center"/>
          </w:tcPr>
          <w:p>
            <w:pPr>
              <w:widowControl w:val="0"/>
              <w:spacing w:before="116" w:line="219" w:lineRule="auto"/>
              <w:ind w:left="334" w:leftChars="0"/>
              <w:jc w:val="both"/>
              <w:rPr>
                <w:rFonts w:hint="eastAsia" w:ascii="仿宋" w:hAnsi="仿宋" w:eastAsia="仿宋" w:cs="仿宋"/>
                <w:sz w:val="32"/>
                <w:szCs w:val="32"/>
                <w:vertAlign w:val="baseline"/>
              </w:rPr>
            </w:pPr>
            <w:r>
              <w:rPr>
                <w:rFonts w:ascii="宋体" w:hAnsi="宋体" w:eastAsia="宋体" w:cs="宋体"/>
                <w:spacing w:val="-2"/>
                <w:sz w:val="24"/>
                <w:szCs w:val="24"/>
              </w:rPr>
              <w:t>禁止事项</w:t>
            </w:r>
          </w:p>
        </w:tc>
        <w:tc>
          <w:tcPr>
            <w:tcW w:w="7425" w:type="dxa"/>
            <w:noWrap w:val="0"/>
            <w:vAlign w:val="center"/>
          </w:tcPr>
          <w:p>
            <w:pPr>
              <w:widowControl w:val="0"/>
              <w:spacing w:before="116" w:line="219" w:lineRule="auto"/>
              <w:ind w:left="2845" w:leftChars="0"/>
              <w:jc w:val="both"/>
              <w:rPr>
                <w:rFonts w:hint="eastAsia" w:ascii="仿宋" w:hAnsi="仿宋" w:eastAsia="仿宋" w:cs="仿宋"/>
                <w:sz w:val="32"/>
                <w:szCs w:val="32"/>
                <w:vertAlign w:val="baseline"/>
              </w:rPr>
            </w:pPr>
            <w:r>
              <w:rPr>
                <w:rFonts w:ascii="宋体" w:hAnsi="宋体" w:eastAsia="宋体" w:cs="宋体"/>
                <w:spacing w:val="12"/>
                <w:sz w:val="24"/>
                <w:szCs w:val="24"/>
              </w:rPr>
              <w:t>具</w:t>
            </w:r>
            <w:r>
              <w:rPr>
                <w:rFonts w:ascii="宋体" w:hAnsi="宋体" w:eastAsia="宋体" w:cs="宋体"/>
                <w:spacing w:val="11"/>
                <w:sz w:val="24"/>
                <w:szCs w:val="24"/>
              </w:rPr>
              <w:t>体内容</w:t>
            </w:r>
          </w:p>
        </w:tc>
        <w:tc>
          <w:tcPr>
            <w:tcW w:w="3749" w:type="dxa"/>
            <w:noWrap w:val="0"/>
            <w:vAlign w:val="center"/>
          </w:tcPr>
          <w:p>
            <w:pPr>
              <w:widowControl w:val="0"/>
              <w:spacing w:before="114" w:line="219" w:lineRule="auto"/>
              <w:ind w:left="400" w:leftChars="0"/>
              <w:jc w:val="both"/>
              <w:rPr>
                <w:rFonts w:hint="eastAsia" w:ascii="仿宋" w:hAnsi="仿宋" w:eastAsia="仿宋" w:cs="仿宋"/>
                <w:sz w:val="32"/>
                <w:szCs w:val="32"/>
                <w:vertAlign w:val="baseline"/>
              </w:rPr>
            </w:pPr>
            <w:r>
              <w:rPr>
                <w:rFonts w:ascii="宋体" w:hAnsi="宋体" w:eastAsia="宋体" w:cs="宋体"/>
                <w:spacing w:val="-1"/>
                <w:sz w:val="24"/>
                <w:szCs w:val="24"/>
              </w:rPr>
              <w:t>相关法律、法规和其</w:t>
            </w:r>
            <w:r>
              <w:rPr>
                <w:rFonts w:ascii="宋体" w:hAnsi="宋体" w:eastAsia="宋体" w:cs="宋体"/>
                <w:sz w:val="24"/>
                <w:szCs w:val="24"/>
              </w:rPr>
              <w:t>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069"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5566" w:firstLineChars="2300"/>
              <w:jc w:val="both"/>
              <w:textAlignment w:val="baseline"/>
              <w:rPr>
                <w:rFonts w:hint="eastAsia" w:ascii="仿宋" w:hAnsi="仿宋" w:eastAsia="仿宋" w:cs="仿宋"/>
                <w:sz w:val="32"/>
                <w:szCs w:val="32"/>
                <w:vertAlign w:val="baseline"/>
              </w:rPr>
            </w:pPr>
            <w:r>
              <w:rPr>
                <w:rFonts w:ascii="宋体" w:hAnsi="宋体" w:eastAsia="宋体" w:cs="宋体"/>
                <w:spacing w:val="1"/>
                <w:sz w:val="24"/>
                <w:szCs w:val="24"/>
              </w:rPr>
              <w:t>四、平台服务机构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trPr>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1"/>
                <w:szCs w:val="21"/>
                <w:vertAlign w:val="baseline"/>
              </w:rPr>
            </w:pPr>
            <w:r>
              <w:rPr>
                <w:rFonts w:ascii="宋体" w:hAnsi="宋体" w:eastAsia="宋体" w:cs="宋体"/>
                <w:spacing w:val="-5"/>
                <w:sz w:val="21"/>
                <w:szCs w:val="21"/>
              </w:rPr>
              <w:t>3</w:t>
            </w:r>
            <w:r>
              <w:rPr>
                <w:rFonts w:ascii="宋体" w:hAnsi="宋体" w:eastAsia="宋体" w:cs="宋体"/>
                <w:spacing w:val="-3"/>
                <w:sz w:val="21"/>
                <w:szCs w:val="21"/>
              </w:rPr>
              <w:t>3</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both"/>
              <w:textAlignment w:val="baseline"/>
              <w:rPr>
                <w:rFonts w:hint="eastAsia" w:ascii="仿宋" w:hAnsi="仿宋" w:eastAsia="仿宋" w:cs="仿宋"/>
                <w:sz w:val="21"/>
                <w:szCs w:val="21"/>
                <w:vertAlign w:val="baseline"/>
              </w:rPr>
            </w:pPr>
            <w:r>
              <w:rPr>
                <w:rFonts w:hint="eastAsia" w:ascii="仿宋" w:hAnsi="仿宋" w:eastAsia="仿宋" w:cs="仿宋"/>
                <w:sz w:val="24"/>
                <w:szCs w:val="24"/>
                <w:lang w:val="en-US" w:eastAsia="zh-CN"/>
              </w:rPr>
              <w:t>设置交易障碍</w:t>
            </w:r>
          </w:p>
        </w:tc>
        <w:tc>
          <w:tcPr>
            <w:tcW w:w="742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1.干涉市场主体选择依法建设和运行的公共资源电子交易系统。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2.通过设置注册登记、设立分支机构、资质验证、投标(竞买)许可、强制担保等限制性条件阻碍或者排斥其他地区市场主体进入本地区公共资源交易市场。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3.违法要求企业法定代表人到场办理相关手续。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4.强制要求市场主体重复登记、备案和验证。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5.非法扣押企业和人员的相关证照资料。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6.限制交易主体自主权。</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《公共资源交易平台管理暂行办法》第十八条，第二十六条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vertAlign w:val="baseline"/>
              </w:rPr>
            </w:pPr>
            <w:r>
              <w:rPr>
                <w:rFonts w:hint="eastAsia" w:ascii="仿宋" w:hAnsi="仿宋" w:eastAsia="仿宋" w:cs="仿宋"/>
                <w:sz w:val="24"/>
                <w:szCs w:val="24"/>
                <w:lang w:val="en-US" w:eastAsia="zh-CN"/>
              </w:rPr>
              <w:t>《关于深化公共资源交易平台整合共享的指导意见》第八条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jc w:val="center"/>
              <w:textAlignment w:val="baseline"/>
              <w:rPr>
                <w:rFonts w:hint="eastAsia" w:ascii="仿宋" w:hAnsi="仿宋" w:eastAsia="仿宋" w:cs="仿宋"/>
                <w:sz w:val="21"/>
                <w:szCs w:val="21"/>
                <w:vertAlign w:val="baseline"/>
              </w:rPr>
            </w:pPr>
            <w:r>
              <w:rPr>
                <w:rFonts w:ascii="宋体" w:hAnsi="宋体" w:eastAsia="宋体" w:cs="宋体"/>
                <w:spacing w:val="-5"/>
                <w:sz w:val="21"/>
                <w:szCs w:val="21"/>
              </w:rPr>
              <w:t>3</w:t>
            </w:r>
            <w:r>
              <w:rPr>
                <w:rFonts w:ascii="宋体" w:hAnsi="宋体" w:eastAsia="宋体" w:cs="宋体"/>
                <w:spacing w:val="-3"/>
                <w:sz w:val="21"/>
                <w:szCs w:val="21"/>
              </w:rPr>
              <w:t>4</w:t>
            </w:r>
          </w:p>
        </w:tc>
        <w:tc>
          <w:tcPr>
            <w:tcW w:w="19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right="0" w:rightChars="0"/>
              <w:jc w:val="left"/>
              <w:textAlignment w:val="baseline"/>
              <w:rPr>
                <w:rFonts w:hint="eastAsia" w:ascii="仿宋" w:hAnsi="仿宋" w:eastAsia="仿宋" w:cs="仿宋"/>
                <w:sz w:val="21"/>
                <w:szCs w:val="21"/>
                <w:vertAlign w:val="baseline"/>
              </w:rPr>
            </w:pPr>
            <w:r>
              <w:rPr>
                <w:rFonts w:hint="eastAsia" w:ascii="仿宋" w:hAnsi="仿宋" w:eastAsia="仿宋" w:cs="仿宋"/>
                <w:sz w:val="24"/>
                <w:szCs w:val="24"/>
                <w:lang w:val="en-US" w:eastAsia="zh-CN"/>
              </w:rPr>
              <w:t>不履行或不正确履行法定职责</w:t>
            </w:r>
          </w:p>
        </w:tc>
        <w:tc>
          <w:tcPr>
            <w:tcW w:w="7425" w:type="dxa"/>
            <w:noWrap w:val="0"/>
            <w:vAlign w:val="bottom"/>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1.行使审批、备案、监管、处罚等行政监督管理职能。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2.违法从事或强制指定招标、拍卖、政府采购代理、工程造价等中介服务。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3.强制非公共资源交易项目进入平台交易。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4.违法收取费用，以营利为目的。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5.无正当理由拒绝发布招标信息或者不按规定交互信息。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6.无正当理由延误招标信息发布时间。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7.因故意或重大过失导致发布的招标公告和公示信息发生遗漏、错误</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8.未按规定设立专家抽取岗，未配备专职操作人员和维护人员负责省综合专家库网络抽取终端的使用和维护。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9.将重要敏感数据擅自公开及用于商业用途。</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10.不按规定保存进场交易项目档案。</w:t>
            </w:r>
          </w:p>
        </w:tc>
        <w:tc>
          <w:tcPr>
            <w:tcW w:w="3749"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《公共资源交易平台管理暂行办法》第十八条，第十九条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《招标公告和公示信息发布管理办法》第十九条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《关于深化公共资源交易平台整合共享的指导意见》第八条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《湖北省公共资源交易平台监管办法（试行》第五条、第六条、第十条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《湖北省评标(评审)专家及专家库管理办法》第二十六条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0YThmNmUzNWYxOTMzMzM0Y2MxZTM3M2UzZjQ5NmIifQ=="/>
  </w:docVars>
  <w:rsids>
    <w:rsidRoot w:val="309B2E58"/>
    <w:rsid w:val="309B2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overflowPunct w:val="0"/>
      <w:ind w:firstLine="200" w:firstLineChars="200"/>
    </w:pPr>
    <w:rPr>
      <w:rFonts w:ascii="Times New Roman" w:hAnsi="Times New Roman"/>
    </w:rPr>
  </w:style>
  <w:style w:type="paragraph" w:styleId="3">
    <w:name w:val="Body Text Indent"/>
    <w:basedOn w:val="1"/>
    <w:next w:val="1"/>
    <w:uiPriority w:val="0"/>
    <w:pPr>
      <w:spacing w:line="560" w:lineRule="exact"/>
      <w:ind w:firstLine="629"/>
    </w:pPr>
    <w:rPr>
      <w:rFonts w:eastAsia="仿宋_GB2312"/>
      <w:sz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2022-10-28T03:32:00Z</dcterms:created>
  <dc:creator>阿柴</dc:creator>
  <cp:lastModifiedBy>阿柴</cp:lastModifiedBy>
  <dcterms:modified xsi:type="dcterms:W3CDTF">2022-10-28T03:38:20Z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D35A6644E22A4CBFBE292AA8D4275796</vt:lpwstr>
  </property>
</Properties>
</file>